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1F5EB69D"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724EC1E9">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32355" cy="528705"/>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6D3BF306" w:rsidR="0088254E" w:rsidRPr="002F7E51" w:rsidRDefault="00E905BF" w:rsidP="0088254E">
            <w:pPr>
              <w:rPr>
                <w:rFonts w:cstheme="minorHAnsi"/>
              </w:rPr>
            </w:pPr>
            <w:r>
              <w:rPr>
                <w:rFonts w:cstheme="minorHAnsi"/>
              </w:rPr>
              <w:t>Business 353</w:t>
            </w:r>
          </w:p>
        </w:tc>
      </w:tr>
      <w:tr w:rsidR="0088254E" w:rsidRPr="001C697E" w14:paraId="1435D112" w14:textId="77777777" w:rsidTr="0088254E">
        <w:tc>
          <w:tcPr>
            <w:tcW w:w="2219" w:type="dxa"/>
          </w:tcPr>
          <w:p w14:paraId="6F07AAF1" w14:textId="124C785B" w:rsidR="0088254E" w:rsidRPr="002F7E51" w:rsidRDefault="00E905BF" w:rsidP="0088254E">
            <w:pPr>
              <w:rPr>
                <w:rFonts w:cstheme="minorHAnsi"/>
              </w:rPr>
            </w:pPr>
            <w:r>
              <w:rPr>
                <w:rFonts w:cstheme="minorHAnsi"/>
              </w:rPr>
              <w:t>Investments</w:t>
            </w:r>
          </w:p>
        </w:tc>
      </w:tr>
      <w:tr w:rsidR="0088254E" w:rsidRPr="001C697E" w14:paraId="31F564AB" w14:textId="77777777" w:rsidTr="0088254E">
        <w:tc>
          <w:tcPr>
            <w:tcW w:w="2219" w:type="dxa"/>
          </w:tcPr>
          <w:p w14:paraId="426B85B6" w14:textId="277D9AA2" w:rsidR="0088254E" w:rsidRPr="002F7E51" w:rsidRDefault="00E905BF"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0DCB2B1B" w:rsidR="0088254E" w:rsidRDefault="0088254E" w:rsidP="0088254E">
      <w:pPr>
        <w:spacing w:after="120"/>
        <w:jc w:val="center"/>
        <w:rPr>
          <w:rFonts w:ascii="Times New Roman" w:hAnsi="Times New Roman" w:cs="Times New Roman"/>
          <w:sz w:val="2"/>
          <w:szCs w:val="2"/>
        </w:rPr>
      </w:pPr>
    </w:p>
    <w:p w14:paraId="464173CA" w14:textId="2D38ED09" w:rsidR="0009260E" w:rsidRDefault="0009260E" w:rsidP="0088254E">
      <w:pPr>
        <w:spacing w:after="120"/>
        <w:jc w:val="center"/>
        <w:rPr>
          <w:rFonts w:ascii="Times New Roman" w:hAnsi="Times New Roman" w:cs="Times New Roman"/>
          <w:sz w:val="2"/>
          <w:szCs w:val="2"/>
        </w:rPr>
      </w:pPr>
    </w:p>
    <w:p w14:paraId="7BEA37F3" w14:textId="433644C7" w:rsidR="0009260E" w:rsidRDefault="0009260E" w:rsidP="0088254E">
      <w:pPr>
        <w:spacing w:after="120"/>
        <w:jc w:val="center"/>
        <w:rPr>
          <w:rFonts w:ascii="Times New Roman" w:hAnsi="Times New Roman" w:cs="Times New Roman"/>
          <w:sz w:val="2"/>
          <w:szCs w:val="2"/>
        </w:rPr>
      </w:pPr>
    </w:p>
    <w:p w14:paraId="41644FD9" w14:textId="467D8E6F" w:rsidR="0009260E" w:rsidRPr="001558CC" w:rsidRDefault="0009260E" w:rsidP="001558CC">
      <w:pPr>
        <w:rPr>
          <w:b/>
          <w:bCs/>
          <w:i/>
          <w:sz w:val="28"/>
          <w:szCs w:val="28"/>
        </w:rPr>
      </w:pPr>
      <w:r w:rsidRPr="00FD2527">
        <w:rPr>
          <w:b/>
          <w:bCs/>
          <w:i/>
          <w:sz w:val="28"/>
          <w:szCs w:val="28"/>
        </w:rPr>
        <w:t xml:space="preserve">Please Read This Syllabus Carefully and Retain It for Future Reference; It Contains Your Responsibilities to Successfully Complete This Course.  This Syllabus Is Subject to Any Changes Announced in Class or Through Campus E-Mail; It Is Your Responsibility to Be Aware of Any Changes That Are Announced.  </w:t>
      </w: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13B59" w:rsidRPr="001C697E" w14:paraId="38A7FCD8" w14:textId="77777777" w:rsidTr="000F3624">
        <w:tc>
          <w:tcPr>
            <w:tcW w:w="2605" w:type="dxa"/>
          </w:tcPr>
          <w:p w14:paraId="414AAF55" w14:textId="5D4B8B02" w:rsidR="00713B59" w:rsidRPr="002F7E51" w:rsidRDefault="00713B59" w:rsidP="00713B59">
            <w:pPr>
              <w:rPr>
                <w:rFonts w:cstheme="minorHAnsi"/>
                <w:b/>
              </w:rPr>
            </w:pPr>
            <w:r w:rsidRPr="002F7E51">
              <w:rPr>
                <w:rFonts w:cstheme="minorHAnsi"/>
                <w:b/>
              </w:rPr>
              <w:t xml:space="preserve">Instructor: </w:t>
            </w:r>
          </w:p>
        </w:tc>
        <w:tc>
          <w:tcPr>
            <w:tcW w:w="6364" w:type="dxa"/>
          </w:tcPr>
          <w:p w14:paraId="6935310F" w14:textId="3620A51E" w:rsidR="00713B59" w:rsidRPr="002F7E51" w:rsidRDefault="00713B59" w:rsidP="00713B59">
            <w:pPr>
              <w:rPr>
                <w:rFonts w:cstheme="minorHAnsi"/>
              </w:rPr>
            </w:pPr>
            <w:r>
              <w:rPr>
                <w:rFonts w:cstheme="minorHAnsi"/>
              </w:rPr>
              <w:t>Gary E. Mullins, Ph.D.</w:t>
            </w:r>
          </w:p>
        </w:tc>
      </w:tr>
      <w:tr w:rsidR="00713B59" w:rsidRPr="001C697E" w14:paraId="4516D814" w14:textId="77777777" w:rsidTr="000F3624">
        <w:tc>
          <w:tcPr>
            <w:tcW w:w="2605" w:type="dxa"/>
          </w:tcPr>
          <w:p w14:paraId="1F9BAFA1" w14:textId="363B1D61" w:rsidR="00713B59" w:rsidRPr="002F7E51" w:rsidRDefault="00713B59" w:rsidP="00713B59">
            <w:pPr>
              <w:rPr>
                <w:rFonts w:cstheme="minorHAnsi"/>
                <w:b/>
              </w:rPr>
            </w:pPr>
            <w:r w:rsidRPr="002F7E51">
              <w:rPr>
                <w:rFonts w:cstheme="minorHAnsi"/>
                <w:b/>
              </w:rPr>
              <w:t>Office:</w:t>
            </w:r>
          </w:p>
        </w:tc>
        <w:tc>
          <w:tcPr>
            <w:tcW w:w="6364" w:type="dxa"/>
          </w:tcPr>
          <w:p w14:paraId="32AD8011" w14:textId="14E2DE38" w:rsidR="00713B59" w:rsidRPr="002F7E51" w:rsidRDefault="00713B59" w:rsidP="00713B59">
            <w:pPr>
              <w:rPr>
                <w:rFonts w:cstheme="minorHAnsi"/>
              </w:rPr>
            </w:pPr>
            <w:r>
              <w:rPr>
                <w:rFonts w:cstheme="minorHAnsi"/>
              </w:rPr>
              <w:t>CPS 436</w:t>
            </w:r>
          </w:p>
        </w:tc>
      </w:tr>
      <w:tr w:rsidR="00713B59" w:rsidRPr="001C697E" w14:paraId="2B3B5AC1" w14:textId="77777777" w:rsidTr="000F3624">
        <w:tc>
          <w:tcPr>
            <w:tcW w:w="2605" w:type="dxa"/>
          </w:tcPr>
          <w:p w14:paraId="4859426A" w14:textId="4BEFC33B" w:rsidR="00713B59" w:rsidRPr="002F7E51" w:rsidRDefault="00713B59" w:rsidP="00713B59">
            <w:pPr>
              <w:rPr>
                <w:rFonts w:cstheme="minorHAnsi"/>
                <w:b/>
              </w:rPr>
            </w:pPr>
            <w:r>
              <w:rPr>
                <w:rFonts w:cstheme="minorHAnsi"/>
                <w:b/>
              </w:rPr>
              <w:t>Zoom Office Hours:</w:t>
            </w:r>
          </w:p>
        </w:tc>
        <w:tc>
          <w:tcPr>
            <w:tcW w:w="6364" w:type="dxa"/>
          </w:tcPr>
          <w:p w14:paraId="2355BCDE" w14:textId="2961827B" w:rsidR="00713B59" w:rsidRPr="002F7E51" w:rsidRDefault="00713B59" w:rsidP="00713B59">
            <w:pPr>
              <w:rPr>
                <w:rFonts w:cstheme="minorHAnsi"/>
              </w:rPr>
            </w:pPr>
            <w:r>
              <w:rPr>
                <w:rFonts w:cstheme="minorHAnsi"/>
              </w:rPr>
              <w:t>M-F: 10:30 – 11:30 or by appointment</w:t>
            </w:r>
          </w:p>
        </w:tc>
      </w:tr>
      <w:tr w:rsidR="00713B59" w:rsidRPr="001C697E" w14:paraId="732C93F6" w14:textId="77777777" w:rsidTr="000F3624">
        <w:tc>
          <w:tcPr>
            <w:tcW w:w="2605" w:type="dxa"/>
          </w:tcPr>
          <w:p w14:paraId="186C512F" w14:textId="1080D9D5" w:rsidR="00713B59" w:rsidRPr="002F7E51" w:rsidRDefault="00713B59" w:rsidP="00713B59">
            <w:pPr>
              <w:rPr>
                <w:rFonts w:cstheme="minorHAnsi"/>
                <w:b/>
              </w:rPr>
            </w:pPr>
            <w:r w:rsidRPr="002F7E51">
              <w:rPr>
                <w:rFonts w:cstheme="minorHAnsi"/>
                <w:b/>
              </w:rPr>
              <w:t>Office Telephone:</w:t>
            </w:r>
          </w:p>
        </w:tc>
        <w:tc>
          <w:tcPr>
            <w:tcW w:w="6364" w:type="dxa"/>
          </w:tcPr>
          <w:p w14:paraId="0E732A5B" w14:textId="3A3179A0" w:rsidR="00713B59" w:rsidRPr="002F7E51" w:rsidRDefault="00713B59" w:rsidP="00713B59">
            <w:pPr>
              <w:rPr>
                <w:rFonts w:cstheme="minorHAnsi"/>
              </w:rPr>
            </w:pPr>
            <w:r>
              <w:rPr>
                <w:rFonts w:cstheme="minorHAnsi"/>
              </w:rPr>
              <w:t>(715) 346-3906</w:t>
            </w:r>
          </w:p>
        </w:tc>
      </w:tr>
      <w:tr w:rsidR="00713B59" w:rsidRPr="001C697E" w14:paraId="48F601C7" w14:textId="77777777" w:rsidTr="000F3624">
        <w:tc>
          <w:tcPr>
            <w:tcW w:w="2605" w:type="dxa"/>
          </w:tcPr>
          <w:p w14:paraId="10353955" w14:textId="6BC40C67" w:rsidR="00713B59" w:rsidRPr="002F7E51" w:rsidRDefault="00713B59" w:rsidP="00713B59">
            <w:pPr>
              <w:rPr>
                <w:rFonts w:cstheme="minorHAnsi"/>
                <w:b/>
              </w:rPr>
            </w:pPr>
            <w:r w:rsidRPr="002F7E51">
              <w:rPr>
                <w:rFonts w:cstheme="minorHAnsi"/>
                <w:b/>
              </w:rPr>
              <w:t>E-mail:</w:t>
            </w:r>
          </w:p>
        </w:tc>
        <w:tc>
          <w:tcPr>
            <w:tcW w:w="6364" w:type="dxa"/>
          </w:tcPr>
          <w:p w14:paraId="64E53A2F" w14:textId="5B1CB67D" w:rsidR="00713B59" w:rsidRPr="002F7E51" w:rsidRDefault="00F1308B" w:rsidP="00713B59">
            <w:pPr>
              <w:rPr>
                <w:rFonts w:cstheme="minorHAnsi"/>
              </w:rPr>
            </w:pPr>
            <w:hyperlink r:id="rId13" w:history="1">
              <w:r w:rsidR="00713B59" w:rsidRPr="005E49F6">
                <w:rPr>
                  <w:rStyle w:val="Hyperlink"/>
                  <w:rFonts w:cstheme="minorHAnsi"/>
                </w:rPr>
                <w:t>gmullins@uwsp.edu</w:t>
              </w:r>
            </w:hyperlink>
          </w:p>
        </w:tc>
      </w:tr>
      <w:tr w:rsidR="00713B59" w:rsidRPr="001C697E" w14:paraId="44F94B92" w14:textId="77777777" w:rsidTr="000F3624">
        <w:tc>
          <w:tcPr>
            <w:tcW w:w="2605" w:type="dxa"/>
          </w:tcPr>
          <w:p w14:paraId="20AF0DEE" w14:textId="2ED80A6B" w:rsidR="00713B59" w:rsidRPr="002F7E51" w:rsidRDefault="00713B59" w:rsidP="00713B59">
            <w:pPr>
              <w:rPr>
                <w:rFonts w:cstheme="minorHAnsi"/>
                <w:b/>
              </w:rPr>
            </w:pPr>
            <w:r>
              <w:rPr>
                <w:rFonts w:cstheme="minorHAnsi"/>
                <w:b/>
              </w:rPr>
              <w:t>Web Page</w:t>
            </w:r>
          </w:p>
        </w:tc>
        <w:tc>
          <w:tcPr>
            <w:tcW w:w="6364" w:type="dxa"/>
          </w:tcPr>
          <w:p w14:paraId="76B626BE" w14:textId="31147E6B" w:rsidR="00713B59" w:rsidRPr="002F7E51" w:rsidRDefault="00F1308B" w:rsidP="00713B59">
            <w:pPr>
              <w:rPr>
                <w:rFonts w:cstheme="minorHAnsi"/>
              </w:rPr>
            </w:pPr>
            <w:hyperlink r:id="rId14" w:history="1">
              <w:r w:rsidR="00713B59" w:rsidRPr="00334CD0">
                <w:rPr>
                  <w:rStyle w:val="Hyperlink"/>
                  <w:rFonts w:ascii="Times New Roman" w:hAnsi="Times New Roman"/>
                </w:rPr>
                <w:t>https://www.uwsp.edu/busecon/Pages/Faculty/gmullins.aspx</w:t>
              </w:r>
            </w:hyperlink>
          </w:p>
        </w:tc>
      </w:tr>
      <w:tr w:rsidR="00713B59" w:rsidRPr="001C697E" w14:paraId="025C25E4" w14:textId="77777777" w:rsidTr="000F3624">
        <w:tc>
          <w:tcPr>
            <w:tcW w:w="2605" w:type="dxa"/>
          </w:tcPr>
          <w:p w14:paraId="6D4A5C3A" w14:textId="679A5EF4" w:rsidR="00713B59" w:rsidRPr="002F7E51" w:rsidRDefault="00713B59" w:rsidP="00713B59">
            <w:pPr>
              <w:rPr>
                <w:rFonts w:cstheme="minorHAnsi"/>
                <w:b/>
              </w:rPr>
            </w:pPr>
            <w:r w:rsidRPr="002F7E51">
              <w:rPr>
                <w:rFonts w:cstheme="minorHAnsi"/>
                <w:b/>
              </w:rPr>
              <w:t>Expected Instructor Response Time</w:t>
            </w:r>
            <w:r>
              <w:rPr>
                <w:rFonts w:cstheme="minorHAnsi"/>
                <w:b/>
              </w:rPr>
              <w:t>:</w:t>
            </w:r>
          </w:p>
        </w:tc>
        <w:tc>
          <w:tcPr>
            <w:tcW w:w="6364" w:type="dxa"/>
          </w:tcPr>
          <w:p w14:paraId="58C11554" w14:textId="2839B233" w:rsidR="00713B59" w:rsidRPr="002F7E51" w:rsidRDefault="00713B59" w:rsidP="00713B59">
            <w:pPr>
              <w:rPr>
                <w:rFonts w:cstheme="minorHAnsi"/>
              </w:rPr>
            </w:pPr>
            <w:r>
              <w:rPr>
                <w:rFonts w:cstheme="minorHAnsi"/>
              </w:rPr>
              <w:t>Approximately one business day</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13B59" w:rsidRPr="001C697E" w14:paraId="51C7EE90" w14:textId="77777777" w:rsidTr="000F3624">
        <w:tc>
          <w:tcPr>
            <w:tcW w:w="2605" w:type="dxa"/>
          </w:tcPr>
          <w:p w14:paraId="20B85671" w14:textId="18566930" w:rsidR="00713B59" w:rsidRPr="002F7E51" w:rsidRDefault="00713B59" w:rsidP="00713B59">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460E21D1" w:rsidR="00713B59" w:rsidRPr="002F7E51" w:rsidRDefault="00713B59" w:rsidP="00713B59">
            <w:pPr>
              <w:rPr>
                <w:rFonts w:cstheme="minorHAnsi"/>
              </w:rPr>
            </w:pPr>
            <w:r w:rsidRPr="00DE47F0">
              <w:rPr>
                <w:rFonts w:cstheme="minorHAnsi"/>
              </w:rPr>
              <w:t>Construct and manage investment portfolios to meet needs of personal and institutional investors; select securities to balance income, risk, and capital growth</w:t>
            </w:r>
          </w:p>
        </w:tc>
      </w:tr>
      <w:tr w:rsidR="00713B59" w:rsidRPr="001C697E" w14:paraId="22D7E0F9" w14:textId="77777777" w:rsidTr="000F3624">
        <w:tc>
          <w:tcPr>
            <w:tcW w:w="2605" w:type="dxa"/>
          </w:tcPr>
          <w:p w14:paraId="7E17FB3A" w14:textId="15800ABA" w:rsidR="00713B59" w:rsidRPr="002F7E51" w:rsidRDefault="00713B59" w:rsidP="00713B59">
            <w:pPr>
              <w:rPr>
                <w:rFonts w:cstheme="minorHAnsi"/>
                <w:b/>
              </w:rPr>
            </w:pPr>
            <w:r>
              <w:rPr>
                <w:rFonts w:cstheme="minorHAnsi"/>
                <w:b/>
              </w:rPr>
              <w:t>My Course Description:</w:t>
            </w:r>
          </w:p>
        </w:tc>
        <w:tc>
          <w:tcPr>
            <w:tcW w:w="6359" w:type="dxa"/>
          </w:tcPr>
          <w:p w14:paraId="790DD601" w14:textId="6C282DDA" w:rsidR="00713B59" w:rsidRPr="002F7E51" w:rsidRDefault="00713B59" w:rsidP="00713B59">
            <w:pPr>
              <w:rPr>
                <w:rFonts w:cstheme="minorHAnsi"/>
              </w:rPr>
            </w:pPr>
            <w:r w:rsidRPr="00DE47F0">
              <w:rPr>
                <w:rFonts w:cstheme="minorHAnsi"/>
              </w:rPr>
              <w:t xml:space="preserve">Basic investments.  Topics include security markets and investors, market efficiency, indexes and averages, dividend, earnings and other models of firm valuation, the P/E ratio and investment, </w:t>
            </w:r>
            <w:r>
              <w:rPr>
                <w:rFonts w:cstheme="minorHAnsi"/>
              </w:rPr>
              <w:t xml:space="preserve">fundamental and </w:t>
            </w:r>
            <w:r w:rsidRPr="00DE47F0">
              <w:rPr>
                <w:rFonts w:cstheme="minorHAnsi"/>
              </w:rPr>
              <w:t xml:space="preserve">technical analysis, bond characteristics and valuation, </w:t>
            </w:r>
            <w:r>
              <w:rPr>
                <w:rFonts w:cstheme="minorHAnsi"/>
              </w:rPr>
              <w:t xml:space="preserve">financial </w:t>
            </w:r>
            <w:r w:rsidRPr="00DE47F0">
              <w:rPr>
                <w:rFonts w:cstheme="minorHAnsi"/>
              </w:rPr>
              <w:t>options</w:t>
            </w:r>
            <w:r>
              <w:rPr>
                <w:rFonts w:cstheme="minorHAnsi"/>
              </w:rPr>
              <w:t xml:space="preserve"> </w:t>
            </w:r>
            <w:r w:rsidRPr="00DE47F0">
              <w:rPr>
                <w:rFonts w:cstheme="minorHAnsi"/>
              </w:rPr>
              <w:t xml:space="preserve">portfolio analysis, </w:t>
            </w:r>
            <w:r>
              <w:rPr>
                <w:rFonts w:cstheme="minorHAnsi"/>
              </w:rPr>
              <w:t xml:space="preserve">and </w:t>
            </w:r>
            <w:r w:rsidRPr="00DE47F0">
              <w:rPr>
                <w:rFonts w:cstheme="minorHAnsi"/>
              </w:rPr>
              <w:t>capital market theories (CAPM and APT).</w:t>
            </w:r>
          </w:p>
        </w:tc>
      </w:tr>
      <w:tr w:rsidR="00713B59" w:rsidRPr="001C697E" w14:paraId="2E705A97" w14:textId="77777777" w:rsidTr="000F3624">
        <w:tc>
          <w:tcPr>
            <w:tcW w:w="2605" w:type="dxa"/>
          </w:tcPr>
          <w:p w14:paraId="4EDE66A1" w14:textId="661C59F1" w:rsidR="00713B59" w:rsidRPr="002F7E51" w:rsidRDefault="00713B59" w:rsidP="00713B59">
            <w:pPr>
              <w:rPr>
                <w:rFonts w:cstheme="minorHAnsi"/>
                <w:b/>
              </w:rPr>
            </w:pPr>
            <w:r>
              <w:rPr>
                <w:rFonts w:cstheme="minorHAnsi"/>
                <w:b/>
              </w:rPr>
              <w:t>Course Objectives</w:t>
            </w:r>
          </w:p>
        </w:tc>
        <w:tc>
          <w:tcPr>
            <w:tcW w:w="6359" w:type="dxa"/>
          </w:tcPr>
          <w:p w14:paraId="68B3511C" w14:textId="77777777" w:rsidR="00713B59" w:rsidRPr="00963100" w:rsidRDefault="00713B59" w:rsidP="00713B59">
            <w:pPr>
              <w:pStyle w:val="ListParagraph"/>
              <w:numPr>
                <w:ilvl w:val="0"/>
                <w:numId w:val="29"/>
              </w:numPr>
              <w:tabs>
                <w:tab w:val="left" w:pos="-720"/>
                <w:tab w:val="left" w:pos="0"/>
              </w:tabs>
              <w:suppressAutoHyphens/>
              <w:ind w:left="250" w:hanging="270"/>
              <w:rPr>
                <w:rFonts w:cstheme="minorHAnsi"/>
              </w:rPr>
            </w:pPr>
            <w:r w:rsidRPr="00963100">
              <w:rPr>
                <w:rFonts w:cstheme="minorHAnsi"/>
              </w:rPr>
              <w:t xml:space="preserve">To become familiar with basic investment concepts, and techniques. </w:t>
            </w:r>
          </w:p>
          <w:p w14:paraId="423B81DA" w14:textId="77777777" w:rsidR="00713B59" w:rsidRPr="00963100" w:rsidRDefault="00713B59" w:rsidP="00713B59">
            <w:pPr>
              <w:pStyle w:val="ListParagraph"/>
              <w:numPr>
                <w:ilvl w:val="0"/>
                <w:numId w:val="29"/>
              </w:numPr>
              <w:tabs>
                <w:tab w:val="left" w:pos="-720"/>
                <w:tab w:val="left" w:pos="0"/>
              </w:tabs>
              <w:suppressAutoHyphens/>
              <w:ind w:left="250" w:hanging="270"/>
              <w:rPr>
                <w:rFonts w:cstheme="minorHAnsi"/>
              </w:rPr>
            </w:pPr>
            <w:r w:rsidRPr="00963100">
              <w:rPr>
                <w:rFonts w:cstheme="minorHAnsi"/>
              </w:rPr>
              <w:t xml:space="preserve">To understand the objectives of financial market investors as they relate to investment decisions. </w:t>
            </w:r>
          </w:p>
          <w:p w14:paraId="451414D7" w14:textId="7FF16A7F" w:rsidR="00713B59" w:rsidRPr="002F7E51" w:rsidRDefault="00713B59" w:rsidP="00713B59">
            <w:pPr>
              <w:rPr>
                <w:rFonts w:cstheme="minorHAnsi"/>
              </w:rPr>
            </w:pPr>
            <w:r w:rsidRPr="00963100">
              <w:rPr>
                <w:rFonts w:cstheme="minorHAnsi"/>
              </w:rPr>
              <w:t>To gain basic knowledge of the financial marketplace (i.e., markets, instruments, terms, etc.).</w:t>
            </w:r>
          </w:p>
        </w:tc>
      </w:tr>
    </w:tbl>
    <w:p w14:paraId="75572E09" w14:textId="7A8FB548"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2605"/>
        <w:gridCol w:w="6359"/>
      </w:tblGrid>
      <w:tr w:rsidR="001558CC" w:rsidRPr="001C697E" w14:paraId="329E5CE4" w14:textId="77777777" w:rsidTr="001558CC">
        <w:tc>
          <w:tcPr>
            <w:tcW w:w="2605" w:type="dxa"/>
          </w:tcPr>
          <w:p w14:paraId="4D1DA53B" w14:textId="77777777" w:rsidR="001558CC" w:rsidRPr="002F7E51" w:rsidRDefault="001558CC" w:rsidP="001558CC">
            <w:pPr>
              <w:rPr>
                <w:rFonts w:cstheme="minorHAnsi"/>
                <w:b/>
              </w:rPr>
            </w:pPr>
            <w:r>
              <w:rPr>
                <w:rFonts w:cstheme="minorHAnsi"/>
                <w:b/>
              </w:rPr>
              <w:t>Required Text</w:t>
            </w:r>
            <w:r w:rsidRPr="002F7E51">
              <w:rPr>
                <w:rFonts w:cstheme="minorHAnsi"/>
                <w:b/>
              </w:rPr>
              <w:t xml:space="preserve">: </w:t>
            </w:r>
          </w:p>
        </w:tc>
        <w:tc>
          <w:tcPr>
            <w:tcW w:w="6359" w:type="dxa"/>
          </w:tcPr>
          <w:p w14:paraId="055896D0" w14:textId="77777777" w:rsidR="001558CC" w:rsidRPr="00455EA1" w:rsidRDefault="001558CC" w:rsidP="001558CC">
            <w:pPr>
              <w:rPr>
                <w:rFonts w:cstheme="minorHAnsi"/>
              </w:rPr>
            </w:pPr>
            <w:r w:rsidRPr="00455EA1">
              <w:rPr>
                <w:rFonts w:cstheme="minorHAnsi"/>
                <w:u w:val="single"/>
              </w:rPr>
              <w:t>Essentials</w:t>
            </w:r>
            <w:r w:rsidRPr="00455EA1">
              <w:rPr>
                <w:rFonts w:cstheme="minorHAnsi"/>
              </w:rPr>
              <w:t xml:space="preserve"> </w:t>
            </w:r>
            <w:r w:rsidRPr="00455EA1">
              <w:rPr>
                <w:rFonts w:cstheme="minorHAnsi"/>
                <w:u w:val="single"/>
              </w:rPr>
              <w:t>of</w:t>
            </w:r>
            <w:r w:rsidRPr="00455EA1">
              <w:rPr>
                <w:rFonts w:cstheme="minorHAnsi"/>
              </w:rPr>
              <w:t xml:space="preserve"> </w:t>
            </w:r>
            <w:r w:rsidRPr="00455EA1">
              <w:rPr>
                <w:rFonts w:cstheme="minorHAnsi"/>
                <w:u w:val="single"/>
              </w:rPr>
              <w:t>Investments</w:t>
            </w:r>
            <w:r w:rsidRPr="00455EA1">
              <w:rPr>
                <w:rFonts w:cstheme="minorHAnsi"/>
              </w:rPr>
              <w:t xml:space="preserve"> by </w:t>
            </w:r>
            <w:proofErr w:type="spellStart"/>
            <w:r w:rsidRPr="00455EA1">
              <w:rPr>
                <w:rFonts w:cstheme="minorHAnsi"/>
              </w:rPr>
              <w:t>Zvi</w:t>
            </w:r>
            <w:proofErr w:type="spellEnd"/>
            <w:r w:rsidRPr="00455EA1">
              <w:rPr>
                <w:rFonts w:cstheme="minorHAnsi"/>
              </w:rPr>
              <w:t xml:space="preserve"> Bodie, Alex Kane and Alan J. Marcus – </w:t>
            </w:r>
            <w:r>
              <w:rPr>
                <w:rFonts w:cstheme="minorHAnsi"/>
              </w:rPr>
              <w:t>Elev</w:t>
            </w:r>
            <w:r w:rsidRPr="00455EA1">
              <w:rPr>
                <w:rFonts w:cstheme="minorHAnsi"/>
              </w:rPr>
              <w:t>enth edition, Irwin, 2017.</w:t>
            </w:r>
          </w:p>
        </w:tc>
      </w:tr>
      <w:tr w:rsidR="001558CC" w:rsidRPr="001C697E" w14:paraId="340BA983" w14:textId="77777777" w:rsidTr="001558CC">
        <w:tc>
          <w:tcPr>
            <w:tcW w:w="2605" w:type="dxa"/>
          </w:tcPr>
          <w:p w14:paraId="005E5A91" w14:textId="77777777" w:rsidR="001558CC" w:rsidRDefault="001558CC" w:rsidP="001558CC">
            <w:pPr>
              <w:rPr>
                <w:rFonts w:cstheme="minorHAnsi"/>
                <w:b/>
              </w:rPr>
            </w:pPr>
            <w:r>
              <w:rPr>
                <w:rFonts w:cstheme="minorHAnsi"/>
                <w:b/>
              </w:rPr>
              <w:t>Other Required Materials / Applications:</w:t>
            </w:r>
          </w:p>
        </w:tc>
        <w:tc>
          <w:tcPr>
            <w:tcW w:w="6359" w:type="dxa"/>
          </w:tcPr>
          <w:p w14:paraId="3EC527F2" w14:textId="77777777" w:rsidR="001558CC" w:rsidRPr="001E1805" w:rsidRDefault="001558CC" w:rsidP="001558CC">
            <w:pPr>
              <w:pStyle w:val="ListParagraph"/>
              <w:numPr>
                <w:ilvl w:val="0"/>
                <w:numId w:val="30"/>
              </w:numPr>
              <w:tabs>
                <w:tab w:val="left" w:pos="-720"/>
              </w:tabs>
              <w:suppressAutoHyphens/>
              <w:ind w:left="250" w:hanging="270"/>
              <w:rPr>
                <w:rFonts w:cstheme="minorHAnsi"/>
                <w:u w:val="single"/>
              </w:rPr>
            </w:pPr>
            <w:r w:rsidRPr="001738DA">
              <w:rPr>
                <w:rFonts w:cstheme="minorHAnsi"/>
              </w:rPr>
              <w:t>A business/financial calculator capable of computing such things as present values, internal rates of return, yields to maturity and future values.  Examples of good calculators are the Sharp EL</w:t>
            </w:r>
            <w:r w:rsidRPr="001738DA">
              <w:rPr>
                <w:rFonts w:cstheme="minorHAnsi"/>
              </w:rPr>
              <w:noBreakHyphen/>
              <w:t>733, and the Texas Instruments BA II+.  They generally can be purchased for $20</w:t>
            </w:r>
            <w:r w:rsidRPr="001738DA">
              <w:rPr>
                <w:rFonts w:cstheme="minorHAnsi"/>
              </w:rPr>
              <w:noBreakHyphen/>
              <w:t>30.</w:t>
            </w:r>
          </w:p>
          <w:p w14:paraId="2C9A3C65" w14:textId="77777777" w:rsidR="001558CC" w:rsidRPr="00455EA1" w:rsidRDefault="001558CC" w:rsidP="001558CC">
            <w:pPr>
              <w:pStyle w:val="ListParagraph"/>
              <w:numPr>
                <w:ilvl w:val="0"/>
                <w:numId w:val="30"/>
              </w:numPr>
              <w:tabs>
                <w:tab w:val="left" w:pos="-720"/>
              </w:tabs>
              <w:suppressAutoHyphens/>
              <w:ind w:left="250" w:hanging="270"/>
              <w:rPr>
                <w:rFonts w:cstheme="minorHAnsi"/>
                <w:u w:val="single"/>
              </w:rPr>
            </w:pPr>
            <w:r w:rsidRPr="001738DA">
              <w:rPr>
                <w:rFonts w:cstheme="minorHAnsi"/>
              </w:rPr>
              <w:t>Knowledge of current financial and business environment.</w:t>
            </w:r>
          </w:p>
        </w:tc>
      </w:tr>
      <w:tr w:rsidR="001558CC" w:rsidRPr="001C697E" w14:paraId="61C0B24F" w14:textId="77777777" w:rsidTr="001558CC">
        <w:tc>
          <w:tcPr>
            <w:tcW w:w="2605" w:type="dxa"/>
          </w:tcPr>
          <w:p w14:paraId="3E72D09F" w14:textId="77777777" w:rsidR="001558CC" w:rsidRDefault="001558CC" w:rsidP="001558CC">
            <w:pPr>
              <w:rPr>
                <w:rFonts w:cstheme="minorHAnsi"/>
                <w:b/>
              </w:rPr>
            </w:pPr>
            <w:r w:rsidRPr="00DD2AC6">
              <w:rPr>
                <w:b/>
              </w:rPr>
              <w:t>Recommended Texts</w:t>
            </w:r>
            <w:r>
              <w:rPr>
                <w:b/>
              </w:rPr>
              <w:t xml:space="preserve"> and </w:t>
            </w:r>
            <w:r w:rsidRPr="00DD2AC6">
              <w:rPr>
                <w:rFonts w:cs="Calibri"/>
                <w:b/>
              </w:rPr>
              <w:t>Other Readings:</w:t>
            </w:r>
          </w:p>
        </w:tc>
        <w:tc>
          <w:tcPr>
            <w:tcW w:w="6359" w:type="dxa"/>
          </w:tcPr>
          <w:p w14:paraId="55BA28EB" w14:textId="77777777" w:rsidR="001558CC" w:rsidRPr="00455EA1" w:rsidRDefault="001558CC" w:rsidP="001558CC">
            <w:pPr>
              <w:rPr>
                <w:rFonts w:cstheme="minorHAnsi"/>
                <w:u w:val="single"/>
              </w:rPr>
            </w:pPr>
            <w:r w:rsidRPr="00DD2AC6">
              <w:rPr>
                <w:rFonts w:cs="Calibri"/>
                <w:b/>
                <w:i/>
              </w:rPr>
              <w:t>The Intelligent Asset Allocator</w:t>
            </w:r>
            <w:r w:rsidRPr="00DD2AC6">
              <w:rPr>
                <w:rFonts w:cs="Calibri"/>
              </w:rPr>
              <w:t xml:space="preserve"> by William Bernstein – Second Edition, McGraw-Hill, 2017</w:t>
            </w:r>
          </w:p>
        </w:tc>
      </w:tr>
    </w:tbl>
    <w:p w14:paraId="4F4C3BE8" w14:textId="77777777" w:rsidR="00AA4BD8" w:rsidRDefault="00AA4BD8" w:rsidP="00AA4BD8">
      <w:pPr>
        <w:pStyle w:val="Heading2"/>
        <w:numPr>
          <w:ilvl w:val="0"/>
          <w:numId w:val="0"/>
        </w:numPr>
        <w:ind w:left="792" w:hanging="432"/>
      </w:pPr>
    </w:p>
    <w:p w14:paraId="47914543" w14:textId="585EFE3C"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2F2E2AC6" w:rsidR="009A0912" w:rsidRPr="002F7E51" w:rsidRDefault="00774145" w:rsidP="000F3624">
            <w:pPr>
              <w:rPr>
                <w:rFonts w:cstheme="minorHAnsi"/>
                <w:b/>
              </w:rPr>
            </w:pPr>
            <w:r>
              <w:rPr>
                <w:rFonts w:cstheme="minorHAnsi"/>
                <w:b/>
              </w:rPr>
              <w:t xml:space="preserve">Instructor </w:t>
            </w:r>
            <w:r w:rsidR="003336AE">
              <w:rPr>
                <w:rFonts w:cstheme="minorHAnsi"/>
                <w:b/>
              </w:rPr>
              <w:t>Web</w:t>
            </w:r>
            <w:r>
              <w:rPr>
                <w:rFonts w:cstheme="minorHAnsi"/>
                <w:b/>
              </w:rPr>
              <w:t>page</w:t>
            </w:r>
            <w:r w:rsidR="009A0912" w:rsidRPr="002F7E51">
              <w:rPr>
                <w:rFonts w:cstheme="minorHAnsi"/>
                <w:b/>
              </w:rPr>
              <w:t xml:space="preserve">: </w:t>
            </w:r>
          </w:p>
        </w:tc>
        <w:tc>
          <w:tcPr>
            <w:tcW w:w="6359" w:type="dxa"/>
          </w:tcPr>
          <w:p w14:paraId="44877405" w14:textId="1C4E0C91" w:rsidR="009A0912" w:rsidRPr="002F7E51" w:rsidRDefault="00F1308B" w:rsidP="000F3624">
            <w:pPr>
              <w:rPr>
                <w:rFonts w:cstheme="minorHAnsi"/>
              </w:rPr>
            </w:pPr>
            <w:hyperlink r:id="rId15" w:history="1">
              <w:r w:rsidR="00774145" w:rsidRPr="00334CD0">
                <w:rPr>
                  <w:rStyle w:val="Hyperlink"/>
                  <w:rFonts w:ascii="Times New Roman" w:hAnsi="Times New Roman"/>
                </w:rPr>
                <w:t>https://www.uwsp.edu/busecon/Pages/Faculty/gmullins.aspx</w:t>
              </w:r>
            </w:hyperlink>
          </w:p>
        </w:tc>
      </w:tr>
      <w:tr w:rsidR="009A0912" w:rsidRPr="001C697E" w14:paraId="3F058429" w14:textId="77777777" w:rsidTr="00637563">
        <w:tc>
          <w:tcPr>
            <w:tcW w:w="2605" w:type="dxa"/>
          </w:tcPr>
          <w:p w14:paraId="4FEA1AC5" w14:textId="23B3AC30" w:rsidR="009A0912" w:rsidRPr="002F7E51" w:rsidRDefault="00774145" w:rsidP="000F3624">
            <w:pPr>
              <w:rPr>
                <w:rFonts w:cstheme="minorHAnsi"/>
                <w:b/>
              </w:rPr>
            </w:pPr>
            <w:r>
              <w:rPr>
                <w:rFonts w:cstheme="minorHAnsi"/>
                <w:b/>
              </w:rPr>
              <w:t xml:space="preserve">Course </w:t>
            </w:r>
            <w:r w:rsidR="003336AE">
              <w:rPr>
                <w:rFonts w:cstheme="minorHAnsi"/>
                <w:b/>
              </w:rPr>
              <w:t>Website:</w:t>
            </w:r>
          </w:p>
        </w:tc>
        <w:tc>
          <w:tcPr>
            <w:tcW w:w="6359" w:type="dxa"/>
          </w:tcPr>
          <w:p w14:paraId="6311DAD8" w14:textId="50C61853" w:rsidR="009A0912" w:rsidRPr="002F7E51" w:rsidRDefault="00774145" w:rsidP="000F3624">
            <w:pPr>
              <w:rPr>
                <w:rFonts w:cstheme="minorHAnsi"/>
              </w:rPr>
            </w:pPr>
            <w:r>
              <w:rPr>
                <w:rFonts w:cstheme="minorHAnsi"/>
              </w:rPr>
              <w:t>Canvas</w:t>
            </w:r>
          </w:p>
        </w:tc>
      </w:tr>
      <w:tr w:rsidR="00774145" w:rsidRPr="001C697E" w14:paraId="20986457" w14:textId="77777777" w:rsidTr="00637563">
        <w:tc>
          <w:tcPr>
            <w:tcW w:w="2605" w:type="dxa"/>
          </w:tcPr>
          <w:p w14:paraId="3856AC90" w14:textId="11D9502E" w:rsidR="00774145" w:rsidRDefault="00774145" w:rsidP="000F3624">
            <w:pPr>
              <w:rPr>
                <w:rFonts w:cstheme="minorHAnsi"/>
                <w:b/>
              </w:rPr>
            </w:pPr>
            <w:r>
              <w:rPr>
                <w:rFonts w:cstheme="minorHAnsi"/>
                <w:b/>
              </w:rPr>
              <w:t>Other Websites:</w:t>
            </w:r>
          </w:p>
        </w:tc>
        <w:tc>
          <w:tcPr>
            <w:tcW w:w="6359" w:type="dxa"/>
          </w:tcPr>
          <w:p w14:paraId="7026EE7F" w14:textId="77777777" w:rsidR="00774145" w:rsidRPr="002F7E51" w:rsidRDefault="00774145"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6CAD72D" w:rsidR="003336AE" w:rsidRPr="002F7E51" w:rsidRDefault="00774145" w:rsidP="000F3624">
            <w:pPr>
              <w:rPr>
                <w:rFonts w:cstheme="minorHAnsi"/>
              </w:rPr>
            </w:pPr>
            <w:r>
              <w:rPr>
                <w:rFonts w:cstheme="minorHAnsi"/>
              </w:rPr>
              <w:t>Online Asynchronous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6FF3C133" w:rsidR="000C4D9A" w:rsidRPr="002F7E51" w:rsidRDefault="00774145" w:rsidP="000C4D9A">
            <w:pPr>
              <w:rPr>
                <w:rFonts w:cstheme="minorHAnsi"/>
              </w:rPr>
            </w:pPr>
            <w:r>
              <w:rPr>
                <w:rFonts w:cstheme="minorHAnsi"/>
              </w:rPr>
              <w:t>N/A</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7"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8"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2FB22DB1" w:rsidR="007F5DBA" w:rsidRPr="0006641C" w:rsidRDefault="007F5DBA" w:rsidP="007F5DBA">
            <w:pPr>
              <w:pStyle w:val="ListParagraph"/>
              <w:numPr>
                <w:ilvl w:val="0"/>
                <w:numId w:val="17"/>
              </w:numPr>
              <w:rPr>
                <w:i/>
                <w:iCs/>
              </w:rPr>
            </w:pPr>
            <w:r>
              <w:lastRenderedPageBreak/>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9"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20" w:history="1">
              <w:r w:rsidRPr="0039799E">
                <w:rPr>
                  <w:rStyle w:val="Hyperlink"/>
                </w:rPr>
                <w:t>techhelp@uwsp.edu</w:t>
              </w:r>
            </w:hyperlink>
            <w:r w:rsidRPr="0039799E">
              <w:t xml:space="preserve"> or at (715) 346-4357 (HELP) or visit: </w:t>
            </w:r>
            <w:hyperlink r:id="rId21"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2"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3"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4" w:history="1">
              <w:r w:rsidRPr="00C05F6B">
                <w:rPr>
                  <w:rStyle w:val="Hyperlink"/>
                </w:rPr>
                <w:t>https://www.uwsp.edu/online/Pages/Online%20Student%20Orientation.aspx</w:t>
              </w:r>
            </w:hyperlink>
          </w:p>
        </w:tc>
      </w:tr>
    </w:tbl>
    <w:p w14:paraId="67C01B14" w14:textId="37123BAF" w:rsidR="002F7E51" w:rsidRPr="0024178F" w:rsidRDefault="002F7E51" w:rsidP="002F7E51">
      <w:pPr>
        <w:rPr>
          <w:rFonts w:ascii="Times New Roman" w:hAnsi="Times New Roman" w:cs="Times New Roman"/>
          <w:sz w:val="36"/>
          <w:szCs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C777258" w14:textId="4A22E0EC" w:rsidR="0024178F" w:rsidRDefault="0024178F" w:rsidP="002723CF">
            <w:pPr>
              <w:pStyle w:val="ListParagraph"/>
              <w:numPr>
                <w:ilvl w:val="0"/>
                <w:numId w:val="29"/>
              </w:numPr>
              <w:tabs>
                <w:tab w:val="left" w:pos="-720"/>
                <w:tab w:val="left" w:pos="0"/>
              </w:tabs>
              <w:suppressAutoHyphens/>
              <w:ind w:left="250" w:hanging="270"/>
              <w:rPr>
                <w:rFonts w:cstheme="minorHAnsi"/>
              </w:rPr>
            </w:pPr>
            <w:r>
              <w:rPr>
                <w:rFonts w:cstheme="minorHAnsi"/>
              </w:rPr>
              <w:t>Remember the nature of the investment landscape (instruments, horizons, risks and returns)</w:t>
            </w:r>
          </w:p>
          <w:p w14:paraId="0700BE3D" w14:textId="77777777" w:rsidR="0024178F" w:rsidRDefault="0024178F" w:rsidP="0024178F">
            <w:pPr>
              <w:pStyle w:val="ListParagraph"/>
              <w:numPr>
                <w:ilvl w:val="0"/>
                <w:numId w:val="29"/>
              </w:numPr>
              <w:tabs>
                <w:tab w:val="left" w:pos="-720"/>
                <w:tab w:val="left" w:pos="0"/>
              </w:tabs>
              <w:suppressAutoHyphens/>
              <w:ind w:left="250" w:hanging="270"/>
              <w:rPr>
                <w:rFonts w:cstheme="minorHAnsi"/>
              </w:rPr>
            </w:pPr>
            <w:r>
              <w:rPr>
                <w:rFonts w:cstheme="minorHAnsi"/>
              </w:rPr>
              <w:t>Understand investors’ needs</w:t>
            </w:r>
          </w:p>
          <w:p w14:paraId="428ED433" w14:textId="77777777" w:rsidR="0024178F" w:rsidRDefault="0024178F" w:rsidP="0024178F">
            <w:pPr>
              <w:pStyle w:val="ListParagraph"/>
              <w:numPr>
                <w:ilvl w:val="1"/>
                <w:numId w:val="29"/>
              </w:numPr>
              <w:tabs>
                <w:tab w:val="left" w:pos="-720"/>
                <w:tab w:val="left" w:pos="0"/>
              </w:tabs>
              <w:suppressAutoHyphens/>
              <w:ind w:left="610"/>
              <w:rPr>
                <w:rFonts w:cstheme="minorHAnsi"/>
              </w:rPr>
            </w:pPr>
            <w:r>
              <w:rPr>
                <w:rFonts w:cstheme="minorHAnsi"/>
              </w:rPr>
              <w:t>Time of life (young acquirers, retirees, etc.)</w:t>
            </w:r>
          </w:p>
          <w:p w14:paraId="7C6F6F2C" w14:textId="77777777" w:rsidR="0024178F" w:rsidRDefault="0024178F" w:rsidP="0024178F">
            <w:pPr>
              <w:pStyle w:val="ListParagraph"/>
              <w:numPr>
                <w:ilvl w:val="1"/>
                <w:numId w:val="29"/>
              </w:numPr>
              <w:tabs>
                <w:tab w:val="left" w:pos="-720"/>
                <w:tab w:val="left" w:pos="0"/>
              </w:tabs>
              <w:suppressAutoHyphens/>
              <w:ind w:left="610"/>
              <w:rPr>
                <w:rFonts w:cstheme="minorHAnsi"/>
              </w:rPr>
            </w:pPr>
            <w:r>
              <w:rPr>
                <w:rFonts w:cstheme="minorHAnsi"/>
              </w:rPr>
              <w:t>Income</w:t>
            </w:r>
          </w:p>
          <w:p w14:paraId="5E35D417" w14:textId="77777777" w:rsidR="0024178F" w:rsidRDefault="0024178F" w:rsidP="0024178F">
            <w:pPr>
              <w:pStyle w:val="ListParagraph"/>
              <w:numPr>
                <w:ilvl w:val="1"/>
                <w:numId w:val="29"/>
              </w:numPr>
              <w:tabs>
                <w:tab w:val="left" w:pos="-720"/>
                <w:tab w:val="left" w:pos="0"/>
              </w:tabs>
              <w:suppressAutoHyphens/>
              <w:ind w:left="610"/>
              <w:rPr>
                <w:rFonts w:cstheme="minorHAnsi"/>
              </w:rPr>
            </w:pPr>
            <w:r>
              <w:rPr>
                <w:rFonts w:cstheme="minorHAnsi"/>
              </w:rPr>
              <w:t>Risk tolerance</w:t>
            </w:r>
          </w:p>
          <w:p w14:paraId="7A167FD3" w14:textId="583AAE19" w:rsidR="0024178F" w:rsidRPr="0024178F" w:rsidRDefault="0024178F" w:rsidP="0024178F">
            <w:pPr>
              <w:pStyle w:val="ListParagraph"/>
              <w:numPr>
                <w:ilvl w:val="1"/>
                <w:numId w:val="29"/>
              </w:numPr>
              <w:tabs>
                <w:tab w:val="left" w:pos="-720"/>
                <w:tab w:val="left" w:pos="0"/>
              </w:tabs>
              <w:suppressAutoHyphens/>
              <w:ind w:left="610"/>
              <w:rPr>
                <w:rFonts w:cstheme="minorHAnsi"/>
              </w:rPr>
            </w:pPr>
            <w:r w:rsidRPr="0024178F">
              <w:rPr>
                <w:rFonts w:cstheme="minorHAnsi"/>
              </w:rPr>
              <w:t>Unexpected situations (death, illness, etc.)</w:t>
            </w:r>
          </w:p>
          <w:p w14:paraId="0E0D620A" w14:textId="75A01890" w:rsidR="0024178F" w:rsidRDefault="0024178F" w:rsidP="0024178F">
            <w:pPr>
              <w:pStyle w:val="ListParagraph"/>
              <w:numPr>
                <w:ilvl w:val="0"/>
                <w:numId w:val="29"/>
              </w:numPr>
              <w:tabs>
                <w:tab w:val="left" w:pos="-720"/>
                <w:tab w:val="left" w:pos="0"/>
              </w:tabs>
              <w:suppressAutoHyphens/>
              <w:ind w:left="250" w:hanging="270"/>
              <w:rPr>
                <w:rFonts w:cstheme="minorHAnsi"/>
              </w:rPr>
            </w:pPr>
            <w:r>
              <w:rPr>
                <w:rFonts w:cstheme="minorHAnsi"/>
              </w:rPr>
              <w:t>Ana</w:t>
            </w:r>
            <w:r w:rsidRPr="0024178F">
              <w:rPr>
                <w:rFonts w:cstheme="minorHAnsi"/>
              </w:rPr>
              <w:t>lyze the needs of investors</w:t>
            </w:r>
          </w:p>
          <w:p w14:paraId="19DB373D" w14:textId="1D1BE659" w:rsidR="0024178F" w:rsidRPr="0024178F" w:rsidRDefault="0024178F" w:rsidP="0024178F">
            <w:pPr>
              <w:pStyle w:val="ListParagraph"/>
              <w:numPr>
                <w:ilvl w:val="0"/>
                <w:numId w:val="29"/>
              </w:numPr>
              <w:tabs>
                <w:tab w:val="left" w:pos="-720"/>
                <w:tab w:val="left" w:pos="0"/>
              </w:tabs>
              <w:suppressAutoHyphens/>
              <w:ind w:left="250" w:hanging="270"/>
              <w:rPr>
                <w:rFonts w:cstheme="minorHAnsi"/>
              </w:rPr>
            </w:pPr>
            <w:r>
              <w:rPr>
                <w:rFonts w:cstheme="minorHAnsi"/>
              </w:rPr>
              <w:t>Evaluate the impact of various investments to the expected returns and risks of different instruments</w:t>
            </w:r>
          </w:p>
          <w:p w14:paraId="5C497C67" w14:textId="46142648" w:rsidR="00142C4B" w:rsidRDefault="00142C4B" w:rsidP="0024178F">
            <w:pPr>
              <w:pStyle w:val="ListParagraph"/>
              <w:numPr>
                <w:ilvl w:val="0"/>
                <w:numId w:val="29"/>
              </w:numPr>
              <w:tabs>
                <w:tab w:val="left" w:pos="-720"/>
                <w:tab w:val="left" w:pos="0"/>
              </w:tabs>
              <w:suppressAutoHyphens/>
              <w:ind w:left="250" w:hanging="270"/>
              <w:rPr>
                <w:rFonts w:cstheme="minorHAnsi"/>
              </w:rPr>
            </w:pPr>
            <w:r>
              <w:rPr>
                <w:rFonts w:cstheme="minorHAnsi"/>
              </w:rPr>
              <w:t>Create investment portfolios that meet investor goals with respect to:</w:t>
            </w:r>
          </w:p>
          <w:p w14:paraId="50F5A285" w14:textId="731A7611" w:rsidR="00142C4B" w:rsidRDefault="00142C4B" w:rsidP="00142C4B">
            <w:pPr>
              <w:pStyle w:val="ListParagraph"/>
              <w:numPr>
                <w:ilvl w:val="1"/>
                <w:numId w:val="29"/>
              </w:numPr>
              <w:tabs>
                <w:tab w:val="left" w:pos="-720"/>
                <w:tab w:val="left" w:pos="0"/>
              </w:tabs>
              <w:suppressAutoHyphens/>
              <w:ind w:left="610"/>
              <w:rPr>
                <w:rFonts w:cstheme="minorHAnsi"/>
              </w:rPr>
            </w:pPr>
            <w:r>
              <w:rPr>
                <w:rFonts w:cstheme="minorHAnsi"/>
              </w:rPr>
              <w:t>Expected return – the percentage return the investor expects to receive</w:t>
            </w:r>
          </w:p>
          <w:p w14:paraId="7B110926" w14:textId="3B7FD4E6" w:rsidR="00142C4B" w:rsidRPr="0024178F" w:rsidRDefault="00142C4B" w:rsidP="0024178F">
            <w:pPr>
              <w:pStyle w:val="ListParagraph"/>
              <w:numPr>
                <w:ilvl w:val="1"/>
                <w:numId w:val="29"/>
              </w:numPr>
              <w:tabs>
                <w:tab w:val="left" w:pos="-720"/>
                <w:tab w:val="left" w:pos="0"/>
              </w:tabs>
              <w:suppressAutoHyphens/>
              <w:ind w:left="610"/>
              <w:rPr>
                <w:rFonts w:cstheme="minorHAnsi"/>
              </w:rPr>
            </w:pPr>
            <w:r>
              <w:rPr>
                <w:rFonts w:cstheme="minorHAnsi"/>
              </w:rPr>
              <w:t>Risk – the variability of the expected return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CA243CE" w14:textId="77777777" w:rsidR="002723CF" w:rsidRPr="00963100" w:rsidRDefault="002723CF" w:rsidP="002723CF">
            <w:pPr>
              <w:pStyle w:val="ListParagraph"/>
              <w:numPr>
                <w:ilvl w:val="0"/>
                <w:numId w:val="29"/>
              </w:numPr>
              <w:tabs>
                <w:tab w:val="left" w:pos="-720"/>
                <w:tab w:val="left" w:pos="0"/>
              </w:tabs>
              <w:suppressAutoHyphens/>
              <w:ind w:left="250" w:hanging="270"/>
              <w:rPr>
                <w:rFonts w:cstheme="minorHAnsi"/>
              </w:rPr>
            </w:pPr>
            <w:r w:rsidRPr="00963100">
              <w:rPr>
                <w:rFonts w:cstheme="minorHAnsi"/>
              </w:rPr>
              <w:t xml:space="preserve">To become familiar with basic investment concepts, and techniques. </w:t>
            </w:r>
          </w:p>
          <w:p w14:paraId="2BE69DA8" w14:textId="77777777" w:rsidR="002723CF" w:rsidRDefault="002723CF" w:rsidP="002723CF">
            <w:pPr>
              <w:pStyle w:val="ListParagraph"/>
              <w:numPr>
                <w:ilvl w:val="0"/>
                <w:numId w:val="29"/>
              </w:numPr>
              <w:tabs>
                <w:tab w:val="left" w:pos="-720"/>
                <w:tab w:val="left" w:pos="0"/>
              </w:tabs>
              <w:suppressAutoHyphens/>
              <w:ind w:left="250" w:hanging="270"/>
              <w:rPr>
                <w:rFonts w:cstheme="minorHAnsi"/>
              </w:rPr>
            </w:pPr>
            <w:r w:rsidRPr="00963100">
              <w:rPr>
                <w:rFonts w:cstheme="minorHAnsi"/>
              </w:rPr>
              <w:t xml:space="preserve">To understand the objectives of financial market investors as they relate to investment decisions. </w:t>
            </w:r>
          </w:p>
          <w:p w14:paraId="28F38B45" w14:textId="0FD9A6F4" w:rsidR="00005DD3" w:rsidRPr="002723CF" w:rsidRDefault="002723CF" w:rsidP="002723CF">
            <w:pPr>
              <w:pStyle w:val="ListParagraph"/>
              <w:numPr>
                <w:ilvl w:val="0"/>
                <w:numId w:val="29"/>
              </w:numPr>
              <w:tabs>
                <w:tab w:val="left" w:pos="-720"/>
                <w:tab w:val="left" w:pos="0"/>
              </w:tabs>
              <w:suppressAutoHyphens/>
              <w:ind w:left="250" w:hanging="270"/>
              <w:rPr>
                <w:rFonts w:cstheme="minorHAnsi"/>
              </w:rPr>
            </w:pPr>
            <w:r w:rsidRPr="002723CF">
              <w:rPr>
                <w:rFonts w:cstheme="minorHAnsi"/>
              </w:rPr>
              <w:t>To gain basic knowledge of the financial marketplace (i.e., markets, instruments, terms, etc.).</w:t>
            </w:r>
          </w:p>
        </w:tc>
      </w:tr>
    </w:tbl>
    <w:p w14:paraId="3907EFEA" w14:textId="31823210" w:rsidR="009A0912" w:rsidRPr="002F7E51" w:rsidRDefault="003336AE" w:rsidP="004706F5">
      <w:pPr>
        <w:pStyle w:val="Heading2"/>
      </w:pPr>
      <w:r w:rsidRPr="003336AE">
        <w:t>Academic Unit</w:t>
      </w:r>
      <w:r w:rsidR="00DC3DE4">
        <w:rPr>
          <w:noProof/>
        </w:rPr>
        <w:t>: School of Business and Economics</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22103A4E" w14:textId="6128A935" w:rsidR="00D362E5" w:rsidRDefault="007D0B4D" w:rsidP="00D362E5">
      <w:pPr>
        <w:pStyle w:val="Heading2"/>
      </w:pPr>
      <w:r>
        <w:t>Attendance</w:t>
      </w:r>
      <w:r w:rsidR="00D362E5">
        <w:t>: N</w:t>
      </w:r>
      <w:r w:rsidR="00E833DE">
        <w:t>/A</w:t>
      </w:r>
    </w:p>
    <w:p w14:paraId="0A4B8CD8" w14:textId="77777777" w:rsidR="00D362E5" w:rsidRPr="00D362E5" w:rsidRDefault="00D362E5" w:rsidP="00D362E5"/>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0D8E3BB" w:rsidR="007D0B4D" w:rsidRPr="002F7E51" w:rsidRDefault="00D362E5" w:rsidP="000F3624">
            <w:pPr>
              <w:rPr>
                <w:rFonts w:cstheme="minorHAnsi"/>
              </w:rPr>
            </w:pPr>
            <w:r>
              <w:rPr>
                <w:rFonts w:cstheme="minorHAnsi"/>
              </w:rPr>
              <w:t>Work will not be accepted late.  Exceptions will be made for any documented university-sanctioned event or documented serious illness.</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3F8AE4BD" w:rsidR="00233E54" w:rsidRPr="002F7E51" w:rsidRDefault="00E833DE" w:rsidP="000F3624">
            <w:pPr>
              <w:rPr>
                <w:rFonts w:cstheme="minorHAnsi"/>
              </w:rPr>
            </w:pPr>
            <w:r>
              <w:rPr>
                <w:rFonts w:cstheme="minorHAnsi"/>
              </w:rPr>
              <w:t xml:space="preserve">We are all expected to treat others with respect and courtesy.  This includes discussions in class, online or wherever they take place.  Someone may say that </w:t>
            </w:r>
            <w:proofErr w:type="gramStart"/>
            <w:r>
              <w:rPr>
                <w:rFonts w:cstheme="minorHAnsi"/>
              </w:rPr>
              <w:t>you’re</w:t>
            </w:r>
            <w:proofErr w:type="gramEnd"/>
            <w:r>
              <w:rPr>
                <w:rFonts w:cstheme="minorHAnsi"/>
              </w:rPr>
              <w:t xml:space="preserve"> wrong, but no one should be expected to be correct all the time – including me.  No one may use derogatory terms for any human being, regardless of who they are.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Pr="00567CED" w:rsidRDefault="00D57096" w:rsidP="00D57096">
      <w:pPr>
        <w:rPr>
          <w:rFonts w:ascii="Times New Roman" w:hAnsi="Times New Roman" w:cs="Times New Roman"/>
          <w:sz w:val="24"/>
          <w:szCs w:val="24"/>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6394B9FD" w:rsidR="00671C88" w:rsidRPr="00361651" w:rsidRDefault="00671C88" w:rsidP="00671C88">
            <w:pPr>
              <w:tabs>
                <w:tab w:val="left" w:pos="-720"/>
              </w:tabs>
              <w:suppressAutoHyphens/>
              <w:spacing w:line="276" w:lineRule="auto"/>
              <w:jc w:val="right"/>
              <w:rPr>
                <w:spacing w:val="-3"/>
                <w:szCs w:val="24"/>
              </w:rPr>
            </w:pPr>
            <w:r w:rsidRPr="00B6002E">
              <w:t>93</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A015F03" w:rsidR="00671C88" w:rsidRPr="00361651" w:rsidRDefault="00671C88" w:rsidP="00671C88">
            <w:pPr>
              <w:tabs>
                <w:tab w:val="left" w:pos="-720"/>
              </w:tabs>
              <w:suppressAutoHyphens/>
              <w:spacing w:line="276" w:lineRule="auto"/>
              <w:rPr>
                <w:spacing w:val="-3"/>
              </w:rPr>
            </w:pPr>
            <w:r>
              <w:t xml:space="preserve">100 </w:t>
            </w:r>
            <w:r w:rsidR="00C9798F">
              <w:t>and up</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E53C898" w:rsidR="00671C88" w:rsidRPr="00361651" w:rsidRDefault="00C9798F" w:rsidP="00671C88">
            <w:pPr>
              <w:tabs>
                <w:tab w:val="left" w:pos="-720"/>
              </w:tabs>
              <w:suppressAutoHyphens/>
              <w:spacing w:line="276" w:lineRule="auto"/>
              <w:jc w:val="right"/>
              <w:rPr>
                <w:spacing w:val="-3"/>
                <w:szCs w:val="24"/>
              </w:rPr>
            </w:pPr>
            <w:r>
              <w:rPr>
                <w:spacing w:val="-3"/>
                <w:szCs w:val="24"/>
              </w:rP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6FD00CE4" w:rsidR="00671C88" w:rsidRPr="00361651" w:rsidRDefault="00671C88" w:rsidP="00671C88">
            <w:pPr>
              <w:tabs>
                <w:tab w:val="left" w:pos="-720"/>
              </w:tabs>
              <w:suppressAutoHyphens/>
              <w:spacing w:line="276" w:lineRule="auto"/>
              <w:rPr>
                <w:spacing w:val="-3"/>
                <w:szCs w:val="24"/>
              </w:rPr>
            </w:pPr>
            <w:r>
              <w:t>92</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964FB12" w:rsidR="00671C88" w:rsidRPr="00361651" w:rsidRDefault="00671C88" w:rsidP="00671C88">
            <w:pPr>
              <w:tabs>
                <w:tab w:val="left" w:pos="-720"/>
              </w:tabs>
              <w:suppressAutoHyphens/>
              <w:spacing w:line="276" w:lineRule="auto"/>
              <w:jc w:val="right"/>
              <w:rPr>
                <w:spacing w:val="-3"/>
                <w:szCs w:val="24"/>
              </w:rPr>
            </w:pPr>
            <w:r w:rsidRPr="00B6002E">
              <w:t>8</w:t>
            </w:r>
            <w:r w:rsidR="00C9798F">
              <w:t>6</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7959D909" w:rsidR="00671C88" w:rsidRPr="00361651" w:rsidRDefault="00C9798F" w:rsidP="00671C88">
            <w:pPr>
              <w:tabs>
                <w:tab w:val="left" w:pos="-720"/>
              </w:tabs>
              <w:suppressAutoHyphens/>
              <w:spacing w:line="276" w:lineRule="auto"/>
              <w:rPr>
                <w:spacing w:val="-3"/>
                <w:szCs w:val="24"/>
              </w:rPr>
            </w:pPr>
            <w:r>
              <w:t>88</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00EC0A64" w:rsidR="00671C88" w:rsidRPr="00361651" w:rsidRDefault="00671C88" w:rsidP="00671C88">
            <w:pPr>
              <w:tabs>
                <w:tab w:val="left" w:pos="-720"/>
              </w:tabs>
              <w:suppressAutoHyphens/>
              <w:spacing w:line="276" w:lineRule="auto"/>
              <w:jc w:val="right"/>
              <w:rPr>
                <w:spacing w:val="-3"/>
                <w:szCs w:val="24"/>
              </w:rPr>
            </w:pPr>
            <w:r w:rsidRPr="00B6002E">
              <w:t>83</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132A31BB" w:rsidR="00671C88" w:rsidRPr="00361651" w:rsidRDefault="00671C88" w:rsidP="00671C88">
            <w:pPr>
              <w:tabs>
                <w:tab w:val="left" w:pos="-720"/>
              </w:tabs>
              <w:suppressAutoHyphens/>
              <w:spacing w:line="276" w:lineRule="auto"/>
              <w:rPr>
                <w:spacing w:val="-3"/>
                <w:szCs w:val="24"/>
              </w:rPr>
            </w:pPr>
            <w:r>
              <w:t>8</w:t>
            </w:r>
            <w:r w:rsidR="00C9798F">
              <w:t>5</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5EA6DB93" w:rsidR="00671C88" w:rsidRPr="00361651" w:rsidRDefault="00C9798F" w:rsidP="00671C88">
            <w:pPr>
              <w:tabs>
                <w:tab w:val="left" w:pos="-720"/>
              </w:tabs>
              <w:suppressAutoHyphens/>
              <w:spacing w:line="276" w:lineRule="auto"/>
              <w:jc w:val="right"/>
              <w:rPr>
                <w:spacing w:val="-3"/>
                <w:szCs w:val="24"/>
              </w:rPr>
            </w:pPr>
            <w:r>
              <w:t>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4AB41C88" w:rsidR="00671C88" w:rsidRPr="00361651" w:rsidRDefault="00671C88" w:rsidP="00671C88">
            <w:pPr>
              <w:tabs>
                <w:tab w:val="left" w:pos="-720"/>
              </w:tabs>
              <w:suppressAutoHyphens/>
              <w:spacing w:line="276" w:lineRule="auto"/>
              <w:rPr>
                <w:spacing w:val="-3"/>
                <w:szCs w:val="24"/>
              </w:rPr>
            </w:pPr>
            <w:r>
              <w:t>82</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5285C8E3" w:rsidR="00671C88" w:rsidRPr="00361651" w:rsidRDefault="00671C88" w:rsidP="00671C88">
            <w:pPr>
              <w:tabs>
                <w:tab w:val="left" w:pos="-720"/>
              </w:tabs>
              <w:suppressAutoHyphens/>
              <w:spacing w:line="276" w:lineRule="auto"/>
              <w:jc w:val="right"/>
              <w:rPr>
                <w:spacing w:val="-3"/>
                <w:szCs w:val="24"/>
              </w:rPr>
            </w:pPr>
            <w:r w:rsidRPr="00B6002E">
              <w:t>7</w:t>
            </w:r>
            <w:r w:rsidR="0016583D">
              <w:t>6</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63EAAEB3" w:rsidR="00671C88" w:rsidRPr="00361651" w:rsidRDefault="00671C88" w:rsidP="00671C88">
            <w:pPr>
              <w:tabs>
                <w:tab w:val="left" w:pos="-720"/>
              </w:tabs>
              <w:suppressAutoHyphens/>
              <w:spacing w:line="276" w:lineRule="auto"/>
              <w:rPr>
                <w:spacing w:val="-3"/>
                <w:szCs w:val="24"/>
              </w:rPr>
            </w:pPr>
            <w:r>
              <w:t>7</w:t>
            </w:r>
            <w:r w:rsidR="0016583D">
              <w:t>8</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13531D74" w:rsidR="00671C88" w:rsidRPr="00361651" w:rsidRDefault="00671C88" w:rsidP="00671C88">
            <w:pPr>
              <w:tabs>
                <w:tab w:val="left" w:pos="-720"/>
              </w:tabs>
              <w:suppressAutoHyphens/>
              <w:spacing w:line="276" w:lineRule="auto"/>
              <w:jc w:val="right"/>
              <w:rPr>
                <w:spacing w:val="-3"/>
                <w:szCs w:val="24"/>
              </w:rPr>
            </w:pPr>
            <w:r w:rsidRPr="00B6002E">
              <w:t>73</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203C92C0" w:rsidR="00671C88" w:rsidRPr="00361651" w:rsidRDefault="00671C88" w:rsidP="00671C88">
            <w:pPr>
              <w:tabs>
                <w:tab w:val="left" w:pos="-720"/>
              </w:tabs>
              <w:suppressAutoHyphens/>
              <w:spacing w:line="276" w:lineRule="auto"/>
              <w:rPr>
                <w:spacing w:val="-3"/>
                <w:szCs w:val="24"/>
              </w:rPr>
            </w:pPr>
            <w:r>
              <w:t>7</w:t>
            </w:r>
            <w:r w:rsidR="0016583D">
              <w:t>5</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7CAB0A1D" w:rsidR="00671C88" w:rsidRPr="00361651" w:rsidRDefault="0016583D"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6A98B3E7" w:rsidR="00671C88" w:rsidRPr="00361651" w:rsidRDefault="00671C88" w:rsidP="00671C88">
            <w:pPr>
              <w:tabs>
                <w:tab w:val="left" w:pos="-720"/>
              </w:tabs>
              <w:suppressAutoHyphens/>
              <w:spacing w:line="276" w:lineRule="auto"/>
              <w:rPr>
                <w:spacing w:val="-3"/>
                <w:szCs w:val="24"/>
              </w:rPr>
            </w:pPr>
            <w:r>
              <w:t>72</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09506F55" w:rsidR="00671C88" w:rsidRPr="00361651" w:rsidRDefault="00671C88" w:rsidP="00671C88">
            <w:pPr>
              <w:tabs>
                <w:tab w:val="left" w:pos="-720"/>
              </w:tabs>
              <w:suppressAutoHyphens/>
              <w:spacing w:line="276" w:lineRule="auto"/>
              <w:jc w:val="right"/>
              <w:rPr>
                <w:spacing w:val="-3"/>
                <w:szCs w:val="24"/>
              </w:rPr>
            </w:pPr>
            <w:r w:rsidRPr="00B6002E">
              <w:t>6</w:t>
            </w:r>
            <w:r w:rsidR="0016583D">
              <w:t>5</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4088442C" w:rsidR="00671C88" w:rsidRPr="00361651" w:rsidRDefault="00671C88" w:rsidP="00671C88">
            <w:pPr>
              <w:tabs>
                <w:tab w:val="left" w:pos="-720"/>
              </w:tabs>
              <w:suppressAutoHyphens/>
              <w:spacing w:line="276" w:lineRule="auto"/>
              <w:rPr>
                <w:spacing w:val="-3"/>
                <w:szCs w:val="24"/>
              </w:rPr>
            </w:pPr>
            <w:r>
              <w:t>6</w:t>
            </w:r>
            <w:r w:rsidR="0016583D">
              <w:t>8</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78B98C7E" w:rsidR="00671C88" w:rsidRPr="00361651" w:rsidRDefault="00671C88" w:rsidP="00671C88">
            <w:pPr>
              <w:tabs>
                <w:tab w:val="left" w:pos="-720"/>
              </w:tabs>
              <w:suppressAutoHyphens/>
              <w:spacing w:line="276" w:lineRule="auto"/>
              <w:jc w:val="right"/>
              <w:rPr>
                <w:spacing w:val="-3"/>
                <w:szCs w:val="24"/>
              </w:rPr>
            </w:pPr>
            <w:r w:rsidRPr="00B6002E">
              <w:t>60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1372B233" w:rsidR="00671C88" w:rsidRPr="00361651" w:rsidRDefault="00671C88" w:rsidP="00671C88">
            <w:pPr>
              <w:tabs>
                <w:tab w:val="left" w:pos="-720"/>
              </w:tabs>
              <w:suppressAutoHyphens/>
              <w:spacing w:line="276" w:lineRule="auto"/>
              <w:rPr>
                <w:spacing w:val="-3"/>
                <w:szCs w:val="24"/>
              </w:rPr>
            </w:pPr>
            <w:r>
              <w:t>6</w:t>
            </w:r>
            <w:r w:rsidR="0016583D">
              <w:t>4</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5703596" w:rsidR="00671C88" w:rsidRPr="00361651" w:rsidRDefault="00671C88" w:rsidP="00671C88">
            <w:pPr>
              <w:tabs>
                <w:tab w:val="left" w:pos="-720"/>
              </w:tabs>
              <w:suppressAutoHyphens/>
              <w:spacing w:line="276" w:lineRule="auto"/>
              <w:jc w:val="right"/>
              <w:rPr>
                <w:spacing w:val="-3"/>
                <w:szCs w:val="24"/>
              </w:rPr>
            </w:pPr>
            <w:r w:rsidRPr="00B6002E">
              <w:t>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F94F4FF" w:rsidR="00671C88" w:rsidRPr="00361651" w:rsidRDefault="0016583D" w:rsidP="00671C88">
            <w:pPr>
              <w:tabs>
                <w:tab w:val="left" w:pos="-720"/>
              </w:tabs>
              <w:suppressAutoHyphens/>
              <w:spacing w:line="276" w:lineRule="auto"/>
              <w:rPr>
                <w:spacing w:val="-3"/>
                <w:szCs w:val="24"/>
              </w:rPr>
            </w:pPr>
            <w:r>
              <w:t>60</w:t>
            </w:r>
          </w:p>
        </w:tc>
      </w:tr>
    </w:tbl>
    <w:p w14:paraId="3496F8B0" w14:textId="6D042F3F"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44036AB0" w:rsidR="00671C88" w:rsidRPr="002F7E51" w:rsidRDefault="0016583D" w:rsidP="004E3ABB">
            <w:pPr>
              <w:rPr>
                <w:rFonts w:cstheme="minorHAnsi"/>
              </w:rPr>
            </w:pPr>
            <w:r>
              <w:rPr>
                <w:rFonts w:cstheme="minorHAnsi"/>
              </w:rPr>
              <w:t>My grading is the weighted average of the points on each quiz plus any extra credit added to the quiz.</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207F04" w:rsidRPr="001C697E" w14:paraId="621827F7" w14:textId="77777777" w:rsidTr="009F486D">
        <w:trPr>
          <w:trHeight w:val="252"/>
        </w:trPr>
        <w:tc>
          <w:tcPr>
            <w:tcW w:w="1435" w:type="dxa"/>
            <w:vAlign w:val="center"/>
          </w:tcPr>
          <w:p w14:paraId="4C035E77" w14:textId="7E9552B0" w:rsidR="00207F04" w:rsidRDefault="00207F04" w:rsidP="009F486D">
            <w:pPr>
              <w:tabs>
                <w:tab w:val="left" w:pos="-720"/>
              </w:tabs>
              <w:suppressAutoHyphens/>
              <w:spacing w:line="276" w:lineRule="auto"/>
              <w:jc w:val="center"/>
              <w:rPr>
                <w:spacing w:val="-3"/>
                <w:szCs w:val="24"/>
              </w:rPr>
            </w:pPr>
            <w:r>
              <w:rPr>
                <w:spacing w:val="-3"/>
                <w:szCs w:val="24"/>
              </w:rPr>
              <w:t>100</w:t>
            </w:r>
          </w:p>
        </w:tc>
        <w:tc>
          <w:tcPr>
            <w:tcW w:w="1440" w:type="dxa"/>
            <w:vAlign w:val="center"/>
          </w:tcPr>
          <w:p w14:paraId="384BE63B" w14:textId="48CF17A6" w:rsidR="00207F04" w:rsidRDefault="00207F04" w:rsidP="00207F04">
            <w:pPr>
              <w:tabs>
                <w:tab w:val="left" w:pos="-720"/>
              </w:tabs>
              <w:suppressAutoHyphens/>
              <w:spacing w:line="276" w:lineRule="auto"/>
              <w:jc w:val="center"/>
              <w:rPr>
                <w:spacing w:val="-3"/>
                <w:szCs w:val="24"/>
              </w:rPr>
            </w:pPr>
            <w:r>
              <w:rPr>
                <w:rFonts w:ascii="Calibri" w:hAnsi="Calibri" w:cs="Calibri"/>
                <w:color w:val="000000"/>
                <w:spacing w:val="-3"/>
              </w:rPr>
              <w:t>15%</w:t>
            </w:r>
          </w:p>
        </w:tc>
        <w:tc>
          <w:tcPr>
            <w:tcW w:w="3213" w:type="dxa"/>
          </w:tcPr>
          <w:p w14:paraId="52CC2798" w14:textId="216441DD" w:rsidR="00207F04" w:rsidRDefault="00207F04" w:rsidP="00207F04">
            <w:pPr>
              <w:rPr>
                <w:rFonts w:cstheme="minorHAnsi"/>
              </w:rPr>
            </w:pPr>
            <w:r>
              <w:rPr>
                <w:rFonts w:cstheme="minorHAnsi"/>
              </w:rPr>
              <w:t>Trading government securities: T-bills, T-</w:t>
            </w:r>
            <w:proofErr w:type="gramStart"/>
            <w:r>
              <w:rPr>
                <w:rFonts w:cstheme="minorHAnsi"/>
              </w:rPr>
              <w:t>notes</w:t>
            </w:r>
            <w:proofErr w:type="gramEnd"/>
            <w:r>
              <w:rPr>
                <w:rFonts w:cstheme="minorHAnsi"/>
              </w:rPr>
              <w:t xml:space="preserve"> and T-bonds</w:t>
            </w:r>
          </w:p>
        </w:tc>
        <w:tc>
          <w:tcPr>
            <w:tcW w:w="1440" w:type="dxa"/>
          </w:tcPr>
          <w:p w14:paraId="7D17DAF7" w14:textId="0F5E79D6" w:rsidR="00207F04" w:rsidRDefault="00207F04" w:rsidP="00207F04">
            <w:pPr>
              <w:jc w:val="center"/>
            </w:pPr>
          </w:p>
        </w:tc>
        <w:tc>
          <w:tcPr>
            <w:tcW w:w="1440" w:type="dxa"/>
          </w:tcPr>
          <w:p w14:paraId="17383363" w14:textId="77777777" w:rsidR="00207F04" w:rsidRPr="00361651" w:rsidRDefault="00207F04" w:rsidP="00207F04">
            <w:pPr>
              <w:tabs>
                <w:tab w:val="left" w:pos="-720"/>
              </w:tabs>
              <w:suppressAutoHyphens/>
              <w:spacing w:line="276" w:lineRule="auto"/>
              <w:rPr>
                <w:spacing w:val="-3"/>
                <w:szCs w:val="24"/>
              </w:rPr>
            </w:pPr>
          </w:p>
        </w:tc>
      </w:tr>
      <w:tr w:rsidR="00207F04" w:rsidRPr="001C697E" w14:paraId="08E20C9C" w14:textId="77777777" w:rsidTr="009F486D">
        <w:trPr>
          <w:trHeight w:val="252"/>
        </w:trPr>
        <w:tc>
          <w:tcPr>
            <w:tcW w:w="1435" w:type="dxa"/>
            <w:vAlign w:val="center"/>
          </w:tcPr>
          <w:p w14:paraId="320E11D2" w14:textId="2AB892A7" w:rsidR="00207F04" w:rsidRPr="00361651" w:rsidRDefault="00207F04" w:rsidP="009F486D">
            <w:pPr>
              <w:tabs>
                <w:tab w:val="left" w:pos="-720"/>
              </w:tabs>
              <w:suppressAutoHyphens/>
              <w:spacing w:line="276" w:lineRule="auto"/>
              <w:jc w:val="center"/>
              <w:rPr>
                <w:spacing w:val="-3"/>
                <w:szCs w:val="24"/>
              </w:rPr>
            </w:pPr>
            <w:r>
              <w:rPr>
                <w:spacing w:val="-3"/>
                <w:szCs w:val="24"/>
              </w:rPr>
              <w:t>100</w:t>
            </w:r>
          </w:p>
        </w:tc>
        <w:tc>
          <w:tcPr>
            <w:tcW w:w="1440" w:type="dxa"/>
            <w:vAlign w:val="center"/>
          </w:tcPr>
          <w:p w14:paraId="60CE72FD" w14:textId="480B48B8" w:rsidR="00207F04" w:rsidRPr="00361651" w:rsidRDefault="00207F04" w:rsidP="00207F04">
            <w:pPr>
              <w:tabs>
                <w:tab w:val="left" w:pos="-720"/>
              </w:tabs>
              <w:suppressAutoHyphens/>
              <w:spacing w:line="276" w:lineRule="auto"/>
              <w:jc w:val="center"/>
              <w:rPr>
                <w:spacing w:val="-3"/>
                <w:szCs w:val="24"/>
              </w:rPr>
            </w:pPr>
            <w:r>
              <w:rPr>
                <w:rFonts w:ascii="Calibri" w:hAnsi="Calibri" w:cs="Calibri"/>
                <w:color w:val="000000"/>
                <w:spacing w:val="-3"/>
              </w:rPr>
              <w:t>25%</w:t>
            </w:r>
          </w:p>
        </w:tc>
        <w:tc>
          <w:tcPr>
            <w:tcW w:w="3213" w:type="dxa"/>
          </w:tcPr>
          <w:p w14:paraId="01E1B880" w14:textId="7A3DBB9C" w:rsidR="00207F04" w:rsidRPr="002F7E51" w:rsidRDefault="00207F04" w:rsidP="00207F04">
            <w:pPr>
              <w:rPr>
                <w:rFonts w:cstheme="minorHAnsi"/>
              </w:rPr>
            </w:pPr>
            <w:r>
              <w:rPr>
                <w:rFonts w:cstheme="minorHAnsi"/>
              </w:rPr>
              <w:t>Trading Corporate Securities: Stocks, bonds, options (puts and calls) and m</w:t>
            </w:r>
            <w:r>
              <w:t>easures of market performance</w:t>
            </w:r>
          </w:p>
        </w:tc>
        <w:tc>
          <w:tcPr>
            <w:tcW w:w="1440" w:type="dxa"/>
          </w:tcPr>
          <w:p w14:paraId="4B6FBE79" w14:textId="0155AA07" w:rsidR="00207F04" w:rsidRPr="00B6002E" w:rsidRDefault="00207F04" w:rsidP="00207F04">
            <w:pPr>
              <w:jc w:val="center"/>
            </w:pPr>
          </w:p>
        </w:tc>
        <w:tc>
          <w:tcPr>
            <w:tcW w:w="1440" w:type="dxa"/>
          </w:tcPr>
          <w:p w14:paraId="18EAF5BD" w14:textId="555C6909" w:rsidR="00207F04" w:rsidRPr="00361651" w:rsidRDefault="00207F04" w:rsidP="00207F04">
            <w:pPr>
              <w:tabs>
                <w:tab w:val="left" w:pos="-720"/>
              </w:tabs>
              <w:suppressAutoHyphens/>
              <w:spacing w:line="276" w:lineRule="auto"/>
              <w:rPr>
                <w:spacing w:val="-3"/>
                <w:szCs w:val="24"/>
              </w:rPr>
            </w:pPr>
          </w:p>
        </w:tc>
      </w:tr>
      <w:tr w:rsidR="00207F04" w:rsidRPr="001C697E" w14:paraId="671B895D" w14:textId="77777777" w:rsidTr="009F486D">
        <w:trPr>
          <w:trHeight w:val="252"/>
        </w:trPr>
        <w:tc>
          <w:tcPr>
            <w:tcW w:w="1435" w:type="dxa"/>
            <w:vAlign w:val="center"/>
          </w:tcPr>
          <w:p w14:paraId="12E931D9" w14:textId="013B90BC" w:rsidR="00207F04" w:rsidRPr="00361651" w:rsidRDefault="00207F04" w:rsidP="009F486D">
            <w:pPr>
              <w:tabs>
                <w:tab w:val="left" w:pos="-720"/>
              </w:tabs>
              <w:suppressAutoHyphens/>
              <w:spacing w:line="276" w:lineRule="auto"/>
              <w:jc w:val="center"/>
              <w:rPr>
                <w:spacing w:val="-3"/>
                <w:szCs w:val="24"/>
              </w:rPr>
            </w:pPr>
            <w:r>
              <w:rPr>
                <w:spacing w:val="-3"/>
                <w:szCs w:val="24"/>
              </w:rPr>
              <w:t>100</w:t>
            </w:r>
          </w:p>
        </w:tc>
        <w:tc>
          <w:tcPr>
            <w:tcW w:w="1440" w:type="dxa"/>
            <w:vAlign w:val="center"/>
          </w:tcPr>
          <w:p w14:paraId="1729FE0B" w14:textId="14B6DCB3" w:rsidR="00207F04" w:rsidRPr="00361651" w:rsidRDefault="00207F04" w:rsidP="00207F04">
            <w:pPr>
              <w:tabs>
                <w:tab w:val="left" w:pos="-720"/>
              </w:tabs>
              <w:suppressAutoHyphens/>
              <w:spacing w:line="276" w:lineRule="auto"/>
              <w:jc w:val="center"/>
              <w:rPr>
                <w:spacing w:val="-3"/>
                <w:szCs w:val="24"/>
              </w:rPr>
            </w:pPr>
            <w:r>
              <w:rPr>
                <w:rFonts w:ascii="Calibri" w:hAnsi="Calibri" w:cs="Calibri"/>
                <w:color w:val="000000"/>
                <w:spacing w:val="-3"/>
              </w:rPr>
              <w:t>20%</w:t>
            </w:r>
          </w:p>
        </w:tc>
        <w:tc>
          <w:tcPr>
            <w:tcW w:w="3213" w:type="dxa"/>
          </w:tcPr>
          <w:p w14:paraId="4400EB82" w14:textId="62505FA7" w:rsidR="00207F04" w:rsidRPr="00B6002E" w:rsidRDefault="00207F04" w:rsidP="00207F04">
            <w:r>
              <w:t xml:space="preserve">Brokerage transactions: executing orders, buying on </w:t>
            </w:r>
            <w:proofErr w:type="gramStart"/>
            <w:r>
              <w:t>margin</w:t>
            </w:r>
            <w:proofErr w:type="gramEnd"/>
            <w:r>
              <w:t xml:space="preserve"> and selling short</w:t>
            </w:r>
          </w:p>
        </w:tc>
        <w:tc>
          <w:tcPr>
            <w:tcW w:w="1440" w:type="dxa"/>
          </w:tcPr>
          <w:p w14:paraId="7257AA79" w14:textId="0D4D5C29" w:rsidR="00207F04" w:rsidRPr="00B6002E" w:rsidRDefault="00207F04" w:rsidP="00207F04">
            <w:pPr>
              <w:jc w:val="center"/>
            </w:pPr>
          </w:p>
        </w:tc>
        <w:tc>
          <w:tcPr>
            <w:tcW w:w="1440" w:type="dxa"/>
          </w:tcPr>
          <w:p w14:paraId="2833D267" w14:textId="77777777" w:rsidR="00207F04" w:rsidRDefault="00207F04" w:rsidP="00207F04">
            <w:pPr>
              <w:tabs>
                <w:tab w:val="left" w:pos="-720"/>
              </w:tabs>
              <w:suppressAutoHyphens/>
              <w:spacing w:line="276" w:lineRule="auto"/>
            </w:pPr>
          </w:p>
        </w:tc>
      </w:tr>
      <w:tr w:rsidR="00207F04" w:rsidRPr="001C697E" w14:paraId="74F4D8D1" w14:textId="77777777" w:rsidTr="009F486D">
        <w:trPr>
          <w:trHeight w:val="252"/>
        </w:trPr>
        <w:tc>
          <w:tcPr>
            <w:tcW w:w="1435" w:type="dxa"/>
            <w:vAlign w:val="center"/>
          </w:tcPr>
          <w:p w14:paraId="455CC3EE" w14:textId="68F2AA77" w:rsidR="00207F04" w:rsidRPr="00361651" w:rsidRDefault="00207F04" w:rsidP="009F486D">
            <w:pPr>
              <w:tabs>
                <w:tab w:val="left" w:pos="-720"/>
              </w:tabs>
              <w:suppressAutoHyphens/>
              <w:spacing w:line="276" w:lineRule="auto"/>
              <w:jc w:val="center"/>
              <w:rPr>
                <w:spacing w:val="-3"/>
                <w:szCs w:val="24"/>
              </w:rPr>
            </w:pPr>
            <w:r>
              <w:rPr>
                <w:spacing w:val="-3"/>
                <w:szCs w:val="24"/>
              </w:rPr>
              <w:t>100</w:t>
            </w:r>
          </w:p>
        </w:tc>
        <w:tc>
          <w:tcPr>
            <w:tcW w:w="1440" w:type="dxa"/>
            <w:vAlign w:val="center"/>
          </w:tcPr>
          <w:p w14:paraId="12D551DD" w14:textId="3F5005AC" w:rsidR="00207F04" w:rsidRPr="00361651" w:rsidRDefault="00207F04" w:rsidP="00207F04">
            <w:pPr>
              <w:tabs>
                <w:tab w:val="left" w:pos="-720"/>
              </w:tabs>
              <w:suppressAutoHyphens/>
              <w:spacing w:line="276" w:lineRule="auto"/>
              <w:jc w:val="center"/>
              <w:rPr>
                <w:spacing w:val="-3"/>
                <w:szCs w:val="24"/>
              </w:rPr>
            </w:pPr>
            <w:r>
              <w:rPr>
                <w:rFonts w:ascii="Calibri" w:hAnsi="Calibri" w:cs="Calibri"/>
                <w:color w:val="000000"/>
                <w:spacing w:val="-3"/>
              </w:rPr>
              <w:t>20%</w:t>
            </w:r>
          </w:p>
        </w:tc>
        <w:tc>
          <w:tcPr>
            <w:tcW w:w="3213" w:type="dxa"/>
          </w:tcPr>
          <w:p w14:paraId="7C8BF71B" w14:textId="53AEFCD4" w:rsidR="00207F04" w:rsidRPr="00B6002E" w:rsidRDefault="00207F04" w:rsidP="00207F04">
            <w:r>
              <w:t xml:space="preserve">Valuation of corporate securities: common stocks, preferred </w:t>
            </w:r>
            <w:proofErr w:type="gramStart"/>
            <w:r>
              <w:t>stocks</w:t>
            </w:r>
            <w:proofErr w:type="gramEnd"/>
            <w:r>
              <w:t xml:space="preserve"> and bonds.</w:t>
            </w:r>
          </w:p>
        </w:tc>
        <w:tc>
          <w:tcPr>
            <w:tcW w:w="1440" w:type="dxa"/>
          </w:tcPr>
          <w:p w14:paraId="2093B28F" w14:textId="1212BB1B" w:rsidR="00207F04" w:rsidRPr="00B6002E" w:rsidRDefault="00207F04" w:rsidP="00207F04">
            <w:pPr>
              <w:jc w:val="center"/>
            </w:pPr>
          </w:p>
        </w:tc>
        <w:tc>
          <w:tcPr>
            <w:tcW w:w="1440" w:type="dxa"/>
          </w:tcPr>
          <w:p w14:paraId="5D35D337" w14:textId="77777777" w:rsidR="00207F04" w:rsidRDefault="00207F04" w:rsidP="00207F04">
            <w:pPr>
              <w:tabs>
                <w:tab w:val="left" w:pos="-720"/>
              </w:tabs>
              <w:suppressAutoHyphens/>
              <w:spacing w:line="276" w:lineRule="auto"/>
            </w:pPr>
          </w:p>
        </w:tc>
      </w:tr>
      <w:tr w:rsidR="00207F04" w:rsidRPr="001C697E" w14:paraId="11CD7E02" w14:textId="77777777" w:rsidTr="009F486D">
        <w:trPr>
          <w:trHeight w:val="252"/>
        </w:trPr>
        <w:tc>
          <w:tcPr>
            <w:tcW w:w="1435" w:type="dxa"/>
            <w:vAlign w:val="center"/>
          </w:tcPr>
          <w:p w14:paraId="2D80DA7E" w14:textId="6BA7FE20" w:rsidR="00207F04" w:rsidRPr="00361651" w:rsidRDefault="00207F04" w:rsidP="009F486D">
            <w:pPr>
              <w:tabs>
                <w:tab w:val="left" w:pos="-720"/>
              </w:tabs>
              <w:suppressAutoHyphens/>
              <w:spacing w:line="276" w:lineRule="auto"/>
              <w:jc w:val="center"/>
              <w:rPr>
                <w:spacing w:val="-3"/>
                <w:szCs w:val="24"/>
              </w:rPr>
            </w:pPr>
            <w:r>
              <w:rPr>
                <w:spacing w:val="-3"/>
                <w:szCs w:val="24"/>
              </w:rPr>
              <w:t>100</w:t>
            </w:r>
          </w:p>
        </w:tc>
        <w:tc>
          <w:tcPr>
            <w:tcW w:w="1440" w:type="dxa"/>
            <w:vAlign w:val="center"/>
          </w:tcPr>
          <w:p w14:paraId="434ADD64" w14:textId="38329127" w:rsidR="00207F04" w:rsidRPr="00361651" w:rsidRDefault="00207F04" w:rsidP="00207F04">
            <w:pPr>
              <w:tabs>
                <w:tab w:val="left" w:pos="-720"/>
              </w:tabs>
              <w:suppressAutoHyphens/>
              <w:spacing w:line="276" w:lineRule="auto"/>
              <w:jc w:val="center"/>
              <w:rPr>
                <w:spacing w:val="-3"/>
                <w:szCs w:val="24"/>
              </w:rPr>
            </w:pPr>
            <w:r>
              <w:rPr>
                <w:rFonts w:ascii="Calibri" w:hAnsi="Calibri" w:cs="Calibri"/>
                <w:color w:val="000000"/>
                <w:spacing w:val="-3"/>
              </w:rPr>
              <w:t>20%</w:t>
            </w:r>
          </w:p>
        </w:tc>
        <w:tc>
          <w:tcPr>
            <w:tcW w:w="3213" w:type="dxa"/>
          </w:tcPr>
          <w:p w14:paraId="13AC78C8" w14:textId="08D3F7D5" w:rsidR="00207F04" w:rsidRPr="00B6002E" w:rsidRDefault="00207F04" w:rsidP="00207F04">
            <w:r>
              <w:t>Evaluating risk: expected returns, standard deviation and portfolio expected returns</w:t>
            </w:r>
          </w:p>
        </w:tc>
        <w:tc>
          <w:tcPr>
            <w:tcW w:w="1440" w:type="dxa"/>
          </w:tcPr>
          <w:p w14:paraId="5AA243D5" w14:textId="3ED7DA22" w:rsidR="00207F04" w:rsidRPr="00B6002E" w:rsidRDefault="00207F04" w:rsidP="00207F04">
            <w:pPr>
              <w:jc w:val="center"/>
            </w:pPr>
          </w:p>
        </w:tc>
        <w:tc>
          <w:tcPr>
            <w:tcW w:w="1440" w:type="dxa"/>
          </w:tcPr>
          <w:p w14:paraId="1E111E8B" w14:textId="77777777" w:rsidR="00207F04" w:rsidRDefault="00207F04" w:rsidP="00207F04">
            <w:pPr>
              <w:tabs>
                <w:tab w:val="left" w:pos="-720"/>
              </w:tabs>
              <w:suppressAutoHyphens/>
              <w:spacing w:line="276" w:lineRule="auto"/>
            </w:pPr>
          </w:p>
        </w:tc>
      </w:tr>
      <w:tr w:rsidR="00207F04" w:rsidRPr="001C697E" w14:paraId="4D8113B5" w14:textId="77777777" w:rsidTr="009F486D">
        <w:trPr>
          <w:trHeight w:val="252"/>
        </w:trPr>
        <w:tc>
          <w:tcPr>
            <w:tcW w:w="1435" w:type="dxa"/>
            <w:tcBorders>
              <w:top w:val="single" w:sz="8" w:space="0" w:color="auto"/>
            </w:tcBorders>
          </w:tcPr>
          <w:p w14:paraId="53289A70" w14:textId="4B506780" w:rsidR="00207F04" w:rsidRPr="00361651" w:rsidRDefault="00207F04" w:rsidP="009F486D">
            <w:pPr>
              <w:tabs>
                <w:tab w:val="left" w:pos="-720"/>
              </w:tabs>
              <w:suppressAutoHyphens/>
              <w:spacing w:line="276" w:lineRule="auto"/>
              <w:jc w:val="center"/>
              <w:rPr>
                <w:spacing w:val="-3"/>
                <w:szCs w:val="24"/>
              </w:rPr>
            </w:pPr>
          </w:p>
        </w:tc>
        <w:tc>
          <w:tcPr>
            <w:tcW w:w="1440" w:type="dxa"/>
            <w:tcBorders>
              <w:top w:val="single" w:sz="8" w:space="0" w:color="auto"/>
            </w:tcBorders>
            <w:vAlign w:val="center"/>
          </w:tcPr>
          <w:p w14:paraId="57B9A190" w14:textId="154411B2" w:rsidR="00207F04" w:rsidRPr="009446FE" w:rsidRDefault="00207F04" w:rsidP="009F486D">
            <w:pPr>
              <w:tabs>
                <w:tab w:val="left" w:pos="-720"/>
              </w:tabs>
              <w:suppressAutoHyphens/>
              <w:spacing w:line="276" w:lineRule="auto"/>
              <w:jc w:val="center"/>
              <w:rPr>
                <w:b/>
                <w:bCs/>
                <w:spacing w:val="-3"/>
                <w:szCs w:val="24"/>
              </w:rPr>
            </w:pPr>
            <w:r w:rsidRPr="009446FE">
              <w:rPr>
                <w:b/>
                <w:bCs/>
                <w:spacing w:val="-3"/>
                <w:szCs w:val="24"/>
              </w:rPr>
              <w:t>100%</w:t>
            </w:r>
          </w:p>
        </w:tc>
        <w:tc>
          <w:tcPr>
            <w:tcW w:w="3213" w:type="dxa"/>
            <w:tcBorders>
              <w:top w:val="single" w:sz="8" w:space="0" w:color="auto"/>
            </w:tcBorders>
            <w:vAlign w:val="center"/>
          </w:tcPr>
          <w:p w14:paraId="20C6CED9" w14:textId="3A053B8E" w:rsidR="00207F04" w:rsidRPr="009446FE" w:rsidRDefault="00207F04" w:rsidP="009F486D">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207F04" w:rsidRPr="00B6002E" w:rsidRDefault="00207F04" w:rsidP="00207F04">
            <w:pPr>
              <w:jc w:val="center"/>
            </w:pPr>
          </w:p>
        </w:tc>
        <w:tc>
          <w:tcPr>
            <w:tcW w:w="1440" w:type="dxa"/>
            <w:tcBorders>
              <w:top w:val="single" w:sz="8" w:space="0" w:color="auto"/>
            </w:tcBorders>
          </w:tcPr>
          <w:p w14:paraId="674B441E" w14:textId="5E729F69" w:rsidR="00207F04" w:rsidRPr="00361651" w:rsidRDefault="00207F04" w:rsidP="00207F04">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77B6F40" w:rsidR="00C83888" w:rsidRPr="002F7E51" w:rsidRDefault="00567CED" w:rsidP="000F3624">
            <w:pPr>
              <w:rPr>
                <w:rFonts w:cstheme="minorHAnsi"/>
              </w:rPr>
            </w:pPr>
            <w:r>
              <w:rPr>
                <w:rFonts w:cstheme="minorHAnsi"/>
              </w:rPr>
              <w:t>There will be 5 quizzes.  Quiz 1 will be worth 1</w:t>
            </w:r>
            <w:r w:rsidR="00B150DA">
              <w:rPr>
                <w:rFonts w:cstheme="minorHAnsi"/>
              </w:rPr>
              <w:t>5</w:t>
            </w:r>
            <w:r>
              <w:rPr>
                <w:rFonts w:cstheme="minorHAnsi"/>
              </w:rPr>
              <w:t>% of your grade.  Quiz 2 will be worth 2</w:t>
            </w:r>
            <w:r w:rsidR="00B150DA">
              <w:rPr>
                <w:rFonts w:cstheme="minorHAnsi"/>
              </w:rPr>
              <w:t>5</w:t>
            </w:r>
            <w:r>
              <w:rPr>
                <w:rFonts w:cstheme="minorHAnsi"/>
              </w:rPr>
              <w:t xml:space="preserve">% of your grade and quizzes 3-5 will be worth </w:t>
            </w:r>
            <w:r w:rsidR="00B150DA">
              <w:rPr>
                <w:rFonts w:cstheme="minorHAnsi"/>
              </w:rPr>
              <w:t>20</w:t>
            </w:r>
            <w:r>
              <w:rPr>
                <w:rFonts w:cstheme="minorHAnsi"/>
              </w:rPr>
              <w:t>% of your grade each.</w:t>
            </w:r>
          </w:p>
        </w:tc>
      </w:tr>
    </w:tbl>
    <w:p w14:paraId="5ECAFD2F" w14:textId="1B61756A" w:rsidR="00D57096" w:rsidRPr="002F7E51" w:rsidRDefault="00567CED" w:rsidP="004706F5">
      <w:pPr>
        <w:pStyle w:val="Heading2"/>
      </w:pPr>
      <w:r>
        <w:t>Extra Credit</w:t>
      </w:r>
      <w:r w:rsidR="004D2CE8">
        <w:t xml:space="preserve">: do not count against you if you </w:t>
      </w:r>
      <w:proofErr w:type="gramStart"/>
      <w:r w:rsidR="004D2CE8">
        <w:t>don’t</w:t>
      </w:r>
      <w:proofErr w:type="gramEnd"/>
      <w:r w:rsidR="004D2CE8">
        <w:t xml:space="preserve"> complete them, but will help you if you at least try to complete them</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95DBD3E" w14:textId="155F3669" w:rsidR="006A7A11" w:rsidRDefault="00567CED" w:rsidP="000F3624">
            <w:pPr>
              <w:rPr>
                <w:rFonts w:cstheme="minorHAnsi"/>
              </w:rPr>
            </w:pPr>
            <w:r>
              <w:rPr>
                <w:rFonts w:cstheme="minorHAnsi"/>
              </w:rPr>
              <w:t>There will be extra credit assignments which will count as 5 points each.</w:t>
            </w:r>
            <w:r w:rsidR="004D2CE8">
              <w:rPr>
                <w:rFonts w:cstheme="minorHAnsi"/>
              </w:rPr>
              <w:t xml:space="preserve">  You may</w:t>
            </w:r>
            <w:r w:rsidR="006A7A11">
              <w:rPr>
                <w:rFonts w:cstheme="minorHAnsi"/>
              </w:rPr>
              <w:t xml:space="preserve"> attempt each assignment as many times as you wish.  Each assignment successfully completed will add 5 points onto the quiz </w:t>
            </w:r>
            <w:proofErr w:type="gramStart"/>
            <w:r w:rsidR="006A7A11">
              <w:rPr>
                <w:rFonts w:cstheme="minorHAnsi"/>
              </w:rPr>
              <w:t>it’s</w:t>
            </w:r>
            <w:proofErr w:type="gramEnd"/>
            <w:r w:rsidR="006A7A11">
              <w:rPr>
                <w:rFonts w:cstheme="minorHAnsi"/>
              </w:rPr>
              <w:t xml:space="preserve"> associated with.  You can think of them as practice quizzes.</w:t>
            </w:r>
          </w:p>
          <w:p w14:paraId="2A6CFB58" w14:textId="77777777" w:rsidR="006A7A11" w:rsidRDefault="006A7A11" w:rsidP="000F3624">
            <w:pPr>
              <w:rPr>
                <w:rFonts w:cstheme="minorHAnsi"/>
              </w:rPr>
            </w:pPr>
          </w:p>
          <w:p w14:paraId="2C5FD9FA" w14:textId="51CC6C8B" w:rsidR="00D57096" w:rsidRPr="006A7A11" w:rsidRDefault="006A7A11" w:rsidP="000F3624">
            <w:pPr>
              <w:rPr>
                <w:rFonts w:cstheme="minorHAnsi"/>
                <w:b/>
                <w:bCs/>
                <w:sz w:val="28"/>
                <w:szCs w:val="28"/>
              </w:rPr>
            </w:pPr>
            <w:r w:rsidRPr="006A7A11">
              <w:rPr>
                <w:rFonts w:cstheme="minorHAnsi"/>
                <w:b/>
                <w:bCs/>
                <w:sz w:val="28"/>
                <w:szCs w:val="28"/>
              </w:rPr>
              <w:t>Although you are not required to do these quizzes</w:t>
            </w:r>
            <w:r w:rsidR="00567CED" w:rsidRPr="006A7A11">
              <w:rPr>
                <w:rFonts w:cstheme="minorHAnsi"/>
                <w:b/>
                <w:bCs/>
                <w:sz w:val="28"/>
                <w:szCs w:val="28"/>
              </w:rPr>
              <w:t xml:space="preserve">, successfully completing </w:t>
            </w:r>
            <w:r w:rsidRPr="006A7A11">
              <w:rPr>
                <w:rFonts w:cstheme="minorHAnsi"/>
                <w:b/>
                <w:bCs/>
                <w:sz w:val="28"/>
                <w:szCs w:val="28"/>
              </w:rPr>
              <w:t xml:space="preserve">them </w:t>
            </w:r>
            <w:r w:rsidR="00567CED" w:rsidRPr="006A7A11">
              <w:rPr>
                <w:rFonts w:cstheme="minorHAnsi"/>
                <w:b/>
                <w:bCs/>
                <w:sz w:val="28"/>
                <w:szCs w:val="28"/>
              </w:rPr>
              <w:t xml:space="preserve">is the </w:t>
            </w:r>
            <w:r w:rsidRPr="006A7A11">
              <w:rPr>
                <w:rFonts w:cstheme="minorHAnsi"/>
                <w:b/>
                <w:bCs/>
                <w:sz w:val="28"/>
                <w:szCs w:val="28"/>
              </w:rPr>
              <w:t xml:space="preserve">best </w:t>
            </w:r>
            <w:r w:rsidR="00567CED" w:rsidRPr="006A7A11">
              <w:rPr>
                <w:rFonts w:cstheme="minorHAnsi"/>
                <w:b/>
                <w:bCs/>
                <w:sz w:val="28"/>
                <w:szCs w:val="28"/>
              </w:rPr>
              <w:t>way to do well on the quizzes.</w:t>
            </w:r>
            <w:r w:rsidR="004D2CE8" w:rsidRPr="006A7A11">
              <w:rPr>
                <w:rFonts w:cstheme="minorHAnsi"/>
                <w:b/>
                <w:bCs/>
                <w:sz w:val="28"/>
                <w:szCs w:val="28"/>
              </w:rPr>
              <w:t xml:space="preserve">  </w:t>
            </w:r>
            <w:r w:rsidRPr="006A7A11">
              <w:rPr>
                <w:rFonts w:cstheme="minorHAnsi"/>
                <w:b/>
                <w:bCs/>
                <w:sz w:val="28"/>
                <w:szCs w:val="28"/>
              </w:rPr>
              <w:t>Bottom line: t</w:t>
            </w:r>
            <w:r w:rsidR="004D2CE8" w:rsidRPr="006A7A11">
              <w:rPr>
                <w:rFonts w:cstheme="minorHAnsi"/>
                <w:b/>
                <w:bCs/>
                <w:sz w:val="28"/>
                <w:szCs w:val="28"/>
              </w:rPr>
              <w:t>hey add to your total score and will help you do well on the exams.</w:t>
            </w:r>
          </w:p>
        </w:tc>
      </w:tr>
    </w:tbl>
    <w:p w14:paraId="650362C8" w14:textId="2BBF100C"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r w:rsidR="00E43D30">
        <w:t>: N/A</w:t>
      </w:r>
      <w:r w:rsidR="00664E82">
        <w:t xml:space="preserve"> – this is an elective class</w:t>
      </w:r>
    </w:p>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799137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r w:rsidR="00664E82">
              <w:t xml:space="preserve"> </w:t>
            </w:r>
            <w:hyperlink r:id="rId25" w:history="1">
              <w:r w:rsidR="00664E82">
                <w:rPr>
                  <w:rStyle w:val="Hyperlink"/>
                </w:rPr>
                <w:t>https://www.uwsp.edu/regrec/pages/calendars.aspx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5BB89AD8" w14:textId="13CA6585" w:rsidR="003A0FA7" w:rsidRPr="003A0FA7" w:rsidRDefault="00D57096" w:rsidP="00B01A8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42327858" w14:textId="683CF796" w:rsidR="003A0FA7" w:rsidRPr="003A0FA7" w:rsidRDefault="003A0FA7" w:rsidP="003A0FA7">
            <w:pPr>
              <w:pStyle w:val="Heading2"/>
              <w:numPr>
                <w:ilvl w:val="1"/>
                <w:numId w:val="34"/>
              </w:numPr>
              <w:ind w:left="341"/>
            </w:pPr>
            <w:r>
              <w:t>ADA</w:t>
            </w:r>
            <w:r w:rsidRPr="000F3624">
              <w:rPr>
                <w:noProof/>
              </w:rPr>
              <w:t xml:space="preserve"> </w:t>
            </w:r>
            <w:r>
              <w:rPr>
                <w:noProof/>
              </w:rPr>
              <w:t xml:space="preserve">/ </w:t>
            </w:r>
            <w:r w:rsidRPr="00251A4B">
              <w:rPr>
                <w:noProof/>
              </w:rPr>
              <w:t>Equal Access for Students with Disabilities</w:t>
            </w:r>
            <w:r>
              <w:rPr>
                <w:noProof/>
              </w:rPr>
              <w:t xml:space="preserve"> (Continue)</w:t>
            </w:r>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7"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8"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20868D58" w14:textId="6A4C0478"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1E7E6DA3" w14:textId="41BA8F57" w:rsidR="003A0FA7" w:rsidRPr="002F7E51" w:rsidRDefault="003A0FA7" w:rsidP="003A0FA7">
            <w:pPr>
              <w:pStyle w:val="Heading2"/>
              <w:numPr>
                <w:ilvl w:val="1"/>
                <w:numId w:val="36"/>
              </w:numPr>
              <w:ind w:left="341"/>
            </w:pPr>
            <w:r>
              <w:t>Help Resources (Continued)</w:t>
            </w:r>
          </w:p>
          <w:p w14:paraId="06FD686E" w14:textId="77777777" w:rsidR="003A0FA7" w:rsidRDefault="003A0FA7" w:rsidP="00306352">
            <w:pPr>
              <w:pStyle w:val="Style1"/>
              <w:tabs>
                <w:tab w:val="left" w:pos="720"/>
              </w:tabs>
              <w:spacing w:after="0"/>
              <w:contextualSpacing/>
              <w:rPr>
                <w:rFonts w:asciiTheme="minorHAnsi" w:hAnsiTheme="minorHAnsi" w:cstheme="minorHAnsi"/>
                <w:b w:val="0"/>
                <w:spacing w:val="0"/>
                <w:sz w:val="22"/>
                <w:szCs w:val="22"/>
              </w:rPr>
            </w:pPr>
          </w:p>
          <w:p w14:paraId="75FDAB23" w14:textId="0403205E"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lastRenderedPageBreak/>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6"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4117E57B" w14:textId="77777777" w:rsidR="003A0FA7" w:rsidRDefault="003A0FA7" w:rsidP="003A0FA7">
      <w:pPr>
        <w:pStyle w:val="Heading2"/>
        <w:numPr>
          <w:ilvl w:val="0"/>
          <w:numId w:val="0"/>
        </w:numPr>
        <w:ind w:left="792"/>
      </w:pPr>
    </w:p>
    <w:p w14:paraId="7C56DEA7" w14:textId="45254013"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4307FFEB"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481EA38"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40A4E5B0"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07FCA3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017E4494" w14:textId="77777777" w:rsidR="003A0FA7" w:rsidRDefault="003A0FA7" w:rsidP="00FE4722">
            <w:pPr>
              <w:pStyle w:val="ListParagraph"/>
              <w:ind w:left="0"/>
              <w:rPr>
                <w:rFonts w:cstheme="minorHAnsi"/>
                <w:szCs w:val="24"/>
              </w:rPr>
            </w:pPr>
          </w:p>
          <w:p w14:paraId="064986C4" w14:textId="75B0DE79" w:rsidR="003A0FA7" w:rsidRPr="002F7E51" w:rsidRDefault="003A0FA7" w:rsidP="003A0FA7">
            <w:pPr>
              <w:pStyle w:val="Heading2"/>
              <w:numPr>
                <w:ilvl w:val="1"/>
                <w:numId w:val="38"/>
              </w:numPr>
              <w:ind w:left="341"/>
            </w:pPr>
            <w:r>
              <w:t>Confidentiality (Continued)</w:t>
            </w:r>
          </w:p>
          <w:p w14:paraId="0FE6A098" w14:textId="77777777" w:rsidR="003A0FA7" w:rsidRPr="003A0FA7" w:rsidRDefault="003A0FA7" w:rsidP="00FE4722">
            <w:pPr>
              <w:pStyle w:val="ListParagraph"/>
              <w:ind w:left="0"/>
              <w:rPr>
                <w:rFonts w:cstheme="minorHAnsi"/>
                <w:sz w:val="16"/>
                <w:szCs w:val="16"/>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63FE55DD" w14:textId="77777777" w:rsidR="003A0FA7" w:rsidRPr="003A0FA7" w:rsidRDefault="003A0FA7" w:rsidP="003A0FA7">
            <w:pPr>
              <w:pStyle w:val="ListParagraph"/>
              <w:ind w:left="0"/>
              <w:rPr>
                <w:rFonts w:cstheme="minorHAnsi"/>
                <w:sz w:val="16"/>
                <w:szCs w:val="16"/>
              </w:rPr>
            </w:pPr>
          </w:p>
          <w:p w14:paraId="3C1DF151" w14:textId="590E74A5"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5371EE05" w14:textId="77777777" w:rsidR="001A54D2" w:rsidRPr="003A0FA7" w:rsidRDefault="001A54D2" w:rsidP="001A54D2">
            <w:pPr>
              <w:pStyle w:val="ListParagraph"/>
              <w:ind w:left="0"/>
              <w:rPr>
                <w:rFonts w:cstheme="minorHAnsi"/>
                <w:sz w:val="16"/>
                <w:szCs w:val="16"/>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600B7D1" w14:textId="77777777" w:rsidR="001A54D2" w:rsidRDefault="001A54D2" w:rsidP="001A54D2">
      <w:pPr>
        <w:pStyle w:val="Heading2"/>
        <w:numPr>
          <w:ilvl w:val="0"/>
          <w:numId w:val="0"/>
        </w:numPr>
        <w:ind w:left="792"/>
      </w:pPr>
    </w:p>
    <w:p w14:paraId="50B070CC" w14:textId="77777777" w:rsidR="001A54D2" w:rsidRDefault="001A54D2" w:rsidP="001A54D2">
      <w:pPr>
        <w:pStyle w:val="Heading2"/>
        <w:numPr>
          <w:ilvl w:val="0"/>
          <w:numId w:val="0"/>
        </w:numPr>
        <w:ind w:left="792"/>
      </w:pPr>
    </w:p>
    <w:p w14:paraId="56928909" w14:textId="50F24E62" w:rsidR="001A54D2" w:rsidRDefault="001A54D2" w:rsidP="001A54D2">
      <w:pPr>
        <w:pStyle w:val="Heading2"/>
        <w:numPr>
          <w:ilvl w:val="0"/>
          <w:numId w:val="0"/>
        </w:numPr>
        <w:ind w:left="792"/>
      </w:pPr>
    </w:p>
    <w:p w14:paraId="7AB5E67B" w14:textId="1E8872E9" w:rsidR="001A54D2" w:rsidRDefault="001A54D2" w:rsidP="001A54D2"/>
    <w:p w14:paraId="73AD24AA" w14:textId="2E132143" w:rsidR="001A54D2" w:rsidRDefault="001A54D2" w:rsidP="001A54D2"/>
    <w:p w14:paraId="2EEFD57E" w14:textId="70E2F60D" w:rsidR="001A54D2" w:rsidRDefault="001A54D2" w:rsidP="001A54D2"/>
    <w:p w14:paraId="4E06398C" w14:textId="77777777" w:rsidR="001A54D2" w:rsidRPr="001A54D2" w:rsidRDefault="001A54D2" w:rsidP="001A54D2"/>
    <w:p w14:paraId="399F4313" w14:textId="77777777" w:rsidR="001A54D2" w:rsidRDefault="001A54D2" w:rsidP="001A54D2">
      <w:pPr>
        <w:pStyle w:val="Heading2"/>
        <w:numPr>
          <w:ilvl w:val="0"/>
          <w:numId w:val="0"/>
        </w:numPr>
        <w:ind w:left="792"/>
      </w:pPr>
    </w:p>
    <w:p w14:paraId="25D1A324" w14:textId="0D4F6340"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lastRenderedPageBreak/>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w:t>
            </w:r>
            <w:proofErr w:type="gramStart"/>
            <w:r w:rsidRPr="008C6FE3">
              <w:rPr>
                <w:rFonts w:cstheme="minorHAnsi"/>
              </w:rPr>
              <w:t>particular question</w:t>
            </w:r>
            <w:proofErr w:type="gramEnd"/>
            <w:r w:rsidRPr="008C6FE3">
              <w:rPr>
                <w:rFonts w:cstheme="minorHAnsi"/>
              </w:rPr>
              <w:t xml:space="preserve">;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6"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7"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FCA02" w14:textId="77777777" w:rsidR="00F1308B" w:rsidRDefault="00F1308B" w:rsidP="00C35C23">
      <w:r>
        <w:separator/>
      </w:r>
    </w:p>
  </w:endnote>
  <w:endnote w:type="continuationSeparator" w:id="0">
    <w:p w14:paraId="00584633" w14:textId="77777777" w:rsidR="00F1308B" w:rsidRDefault="00F1308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6A7A11" w:rsidRDefault="006A7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75F3A071" w:rsidR="006A7A11" w:rsidRPr="002B7BF6" w:rsidRDefault="006A7A11"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F486D">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6A7A11" w:rsidRPr="008C3F46" w:rsidRDefault="006A7A11"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6714" w14:textId="77777777" w:rsidR="00F1308B" w:rsidRDefault="00F1308B" w:rsidP="00C35C23">
      <w:r>
        <w:separator/>
      </w:r>
    </w:p>
  </w:footnote>
  <w:footnote w:type="continuationSeparator" w:id="0">
    <w:p w14:paraId="403BA1EC" w14:textId="77777777" w:rsidR="00F1308B" w:rsidRDefault="00F1308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6A7A11" w:rsidRDefault="006A7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6A7A11" w:rsidRDefault="006A7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6A7A11" w:rsidRPr="008C3F46" w:rsidRDefault="006A7A11"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6E94ABB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06406"/>
    <w:multiLevelType w:val="hybridMultilevel"/>
    <w:tmpl w:val="A59E130E"/>
    <w:lvl w:ilvl="0" w:tplc="04090001">
      <w:start w:val="1"/>
      <w:numFmt w:val="bullet"/>
      <w:lvlText w:val=""/>
      <w:lvlJc w:val="left"/>
      <w:pPr>
        <w:ind w:left="720" w:hanging="360"/>
      </w:pPr>
      <w:rPr>
        <w:rFonts w:ascii="Symbol" w:hAnsi="Symbol" w:hint="default"/>
      </w:rPr>
    </w:lvl>
    <w:lvl w:ilvl="1" w:tplc="C1E02A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427B7"/>
    <w:multiLevelType w:val="hybridMultilevel"/>
    <w:tmpl w:val="BBF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 w:numId="28">
    <w:abstractNumId w:val="14"/>
  </w:num>
  <w:num w:numId="29">
    <w:abstractNumId w:val="11"/>
  </w:num>
  <w:num w:numId="30">
    <w:abstractNumId w:val="1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7"/>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9260E"/>
    <w:rsid w:val="000C4D9A"/>
    <w:rsid w:val="000D2A14"/>
    <w:rsid w:val="000F044E"/>
    <w:rsid w:val="000F3624"/>
    <w:rsid w:val="00110A54"/>
    <w:rsid w:val="0013751E"/>
    <w:rsid w:val="00142C4B"/>
    <w:rsid w:val="001558CC"/>
    <w:rsid w:val="0016583D"/>
    <w:rsid w:val="001A54D2"/>
    <w:rsid w:val="001C647B"/>
    <w:rsid w:val="001C697E"/>
    <w:rsid w:val="001D308C"/>
    <w:rsid w:val="001F7957"/>
    <w:rsid w:val="0020212B"/>
    <w:rsid w:val="00207F04"/>
    <w:rsid w:val="002205F4"/>
    <w:rsid w:val="00233E54"/>
    <w:rsid w:val="0024178F"/>
    <w:rsid w:val="00251A4B"/>
    <w:rsid w:val="00271DD3"/>
    <w:rsid w:val="002723CF"/>
    <w:rsid w:val="00275568"/>
    <w:rsid w:val="00292DBE"/>
    <w:rsid w:val="002A6AF2"/>
    <w:rsid w:val="002B7BF6"/>
    <w:rsid w:val="002F7E51"/>
    <w:rsid w:val="00306352"/>
    <w:rsid w:val="00313578"/>
    <w:rsid w:val="003336AE"/>
    <w:rsid w:val="00360D85"/>
    <w:rsid w:val="0039799E"/>
    <w:rsid w:val="003A0FA7"/>
    <w:rsid w:val="003C083B"/>
    <w:rsid w:val="003F062B"/>
    <w:rsid w:val="003F1AE1"/>
    <w:rsid w:val="00453C91"/>
    <w:rsid w:val="00465F35"/>
    <w:rsid w:val="004706F5"/>
    <w:rsid w:val="004D2CE8"/>
    <w:rsid w:val="004E1973"/>
    <w:rsid w:val="004E3ABB"/>
    <w:rsid w:val="005357A6"/>
    <w:rsid w:val="005559AF"/>
    <w:rsid w:val="005578A5"/>
    <w:rsid w:val="00567CED"/>
    <w:rsid w:val="005C5B6C"/>
    <w:rsid w:val="005D0620"/>
    <w:rsid w:val="005E20D8"/>
    <w:rsid w:val="005E6CA5"/>
    <w:rsid w:val="00615E3A"/>
    <w:rsid w:val="00637563"/>
    <w:rsid w:val="006457A0"/>
    <w:rsid w:val="0064666B"/>
    <w:rsid w:val="00664E82"/>
    <w:rsid w:val="00665B97"/>
    <w:rsid w:val="0067113A"/>
    <w:rsid w:val="00671C88"/>
    <w:rsid w:val="00695857"/>
    <w:rsid w:val="006A7A11"/>
    <w:rsid w:val="006B361F"/>
    <w:rsid w:val="006E4EB8"/>
    <w:rsid w:val="007025BC"/>
    <w:rsid w:val="00707C17"/>
    <w:rsid w:val="00713B59"/>
    <w:rsid w:val="00731E75"/>
    <w:rsid w:val="00735105"/>
    <w:rsid w:val="0074249A"/>
    <w:rsid w:val="00745254"/>
    <w:rsid w:val="007547EF"/>
    <w:rsid w:val="00774145"/>
    <w:rsid w:val="007832DD"/>
    <w:rsid w:val="007933B9"/>
    <w:rsid w:val="007C1743"/>
    <w:rsid w:val="007D0B4D"/>
    <w:rsid w:val="007F5DBA"/>
    <w:rsid w:val="00802861"/>
    <w:rsid w:val="00823088"/>
    <w:rsid w:val="00835B66"/>
    <w:rsid w:val="008403EA"/>
    <w:rsid w:val="0086726B"/>
    <w:rsid w:val="00867FFE"/>
    <w:rsid w:val="00877788"/>
    <w:rsid w:val="0088254E"/>
    <w:rsid w:val="0089257E"/>
    <w:rsid w:val="008B1CB9"/>
    <w:rsid w:val="008B2CD7"/>
    <w:rsid w:val="008C3F46"/>
    <w:rsid w:val="008C6FE3"/>
    <w:rsid w:val="008D4407"/>
    <w:rsid w:val="008F5169"/>
    <w:rsid w:val="00900AB3"/>
    <w:rsid w:val="009141E3"/>
    <w:rsid w:val="009446FE"/>
    <w:rsid w:val="009535AA"/>
    <w:rsid w:val="009A0912"/>
    <w:rsid w:val="009A3693"/>
    <w:rsid w:val="009A46C4"/>
    <w:rsid w:val="009E6DE9"/>
    <w:rsid w:val="009F0FFE"/>
    <w:rsid w:val="009F315B"/>
    <w:rsid w:val="009F486D"/>
    <w:rsid w:val="009F6A3F"/>
    <w:rsid w:val="009F7EB9"/>
    <w:rsid w:val="00A1057D"/>
    <w:rsid w:val="00A63ABF"/>
    <w:rsid w:val="00A837A8"/>
    <w:rsid w:val="00AA4BD8"/>
    <w:rsid w:val="00AA6DE0"/>
    <w:rsid w:val="00AC7ADA"/>
    <w:rsid w:val="00AE2A39"/>
    <w:rsid w:val="00B150DA"/>
    <w:rsid w:val="00B2465A"/>
    <w:rsid w:val="00B35819"/>
    <w:rsid w:val="00B40244"/>
    <w:rsid w:val="00B43293"/>
    <w:rsid w:val="00BA1CE4"/>
    <w:rsid w:val="00BA368E"/>
    <w:rsid w:val="00C07D48"/>
    <w:rsid w:val="00C20C57"/>
    <w:rsid w:val="00C3030B"/>
    <w:rsid w:val="00C35C23"/>
    <w:rsid w:val="00C47053"/>
    <w:rsid w:val="00C83888"/>
    <w:rsid w:val="00C84B15"/>
    <w:rsid w:val="00C9798F"/>
    <w:rsid w:val="00CA4C51"/>
    <w:rsid w:val="00CA4E51"/>
    <w:rsid w:val="00CF2F84"/>
    <w:rsid w:val="00D116C8"/>
    <w:rsid w:val="00D362E5"/>
    <w:rsid w:val="00D5624E"/>
    <w:rsid w:val="00D57096"/>
    <w:rsid w:val="00D67BE8"/>
    <w:rsid w:val="00D74BF5"/>
    <w:rsid w:val="00D87241"/>
    <w:rsid w:val="00D90D49"/>
    <w:rsid w:val="00DC3DE4"/>
    <w:rsid w:val="00DC44C6"/>
    <w:rsid w:val="00DF1ABA"/>
    <w:rsid w:val="00E13D04"/>
    <w:rsid w:val="00E25846"/>
    <w:rsid w:val="00E306C0"/>
    <w:rsid w:val="00E43D30"/>
    <w:rsid w:val="00E833DE"/>
    <w:rsid w:val="00E905BF"/>
    <w:rsid w:val="00EA55BB"/>
    <w:rsid w:val="00F120EC"/>
    <w:rsid w:val="00F1308B"/>
    <w:rsid w:val="00F615CA"/>
    <w:rsid w:val="00F65B71"/>
    <w:rsid w:val="00F76537"/>
    <w:rsid w:val="00F975E1"/>
    <w:rsid w:val="00FA5AF2"/>
    <w:rsid w:val="00FB16AF"/>
    <w:rsid w:val="00FD267E"/>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mullins@uwsp.edu" TargetMode="External"/><Relationship Id="rId18" Type="http://schemas.openxmlformats.org/officeDocument/2006/relationships/hyperlink" Target="https://community.canvaslms.com/docs/DOC-3891" TargetMode="External"/><Relationship Id="rId26" Type="http://schemas.openxmlformats.org/officeDocument/2006/relationships/hyperlink" Target="https://www3.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3.uwsp.edu/infotech/Pages/ServiceDesk/default.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3.uwsp.edu/dos/Pages/stu-conduct.aspx" TargetMode="External"/><Relationship Id="rId47" Type="http://schemas.openxmlformats.org/officeDocument/2006/relationships/hyperlink" Target="https://www3.uwsp.edu/C19DailyScreenin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www3.uwsp.edu/online/Pages/Online%20Student%20Orientation.aspx"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3.uwsp.edu/infosecurity/Pages/default.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ws.instructure.com/courses/45767" TargetMode="External"/><Relationship Id="rId31" Type="http://schemas.openxmlformats.org/officeDocument/2006/relationships/hyperlink" Target="https://www3.uwsp.edu/tlc/Pages/default.aspx" TargetMode="External"/><Relationship Id="rId44" Type="http://schemas.openxmlformats.org/officeDocument/2006/relationships/hyperlink" Target="https://www3.uwsp.edu/online/Pages/Privacy-and-Accessibility-Link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uwsp.edu/busecon/Pages/Faculty/gmullins.aspx" TargetMode="External"/><Relationship Id="rId22" Type="http://schemas.openxmlformats.org/officeDocument/2006/relationships/hyperlink" Target="https://www3.uwsp.edu/online/Pages/Student-Support.aspx" TargetMode="External"/><Relationship Id="rId27" Type="http://schemas.openxmlformats.org/officeDocument/2006/relationships/hyperlink" Target="mailto:datctr@uwsp.edu"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3.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10701" TargetMode="External"/><Relationship Id="rId25" Type="http://schemas.openxmlformats.org/officeDocument/2006/relationships/hyperlink" Target="https://www3.uwsp.edu/regrec/pages/calendars.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3.uwsp.edu/regrec/Pages/Attendance-Policy.aspx" TargetMode="External"/><Relationship Id="rId46" Type="http://schemas.openxmlformats.org/officeDocument/2006/relationships/hyperlink" Target="https://www3.uwsp.edu/datc/Pages/default.aspx" TargetMode="External"/><Relationship Id="rId20" Type="http://schemas.openxmlformats.org/officeDocument/2006/relationships/hyperlink" Target="mailto:techhelp@uwsp.edu" TargetMode="External"/><Relationship Id="rId41" Type="http://schemas.openxmlformats.org/officeDocument/2006/relationships/hyperlink" Target="https://www3.uwsp.edu/acadaff/Pages/gradeReview.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uwsp.edu/busecon/Pages/Faculty/gmullins.aspx" TargetMode="External"/><Relationship Id="rId23" Type="http://schemas.openxmlformats.org/officeDocument/2006/relationships/hyperlink" Target="https://www3.uwsp.edu/tlc/Pages/techTutoring.aspx" TargetMode="External"/><Relationship Id="rId28" Type="http://schemas.openxmlformats.org/officeDocument/2006/relationships/hyperlink" Target="https://www3.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353</Number>
    <Section xmlns="409cf07c-705a-4568-bc2e-e1a7cd36a2d3">02</Section>
    <Calendar_x0020_Year xmlns="409cf07c-705a-4568-bc2e-e1a7cd36a2d3">2020</Calendar_x0020_Year>
    <Course_x0020_Name xmlns="409cf07c-705a-4568-bc2e-e1a7cd36a2d3">Investments </Course_x0020_Name>
    <Instructor xmlns="409cf07c-705a-4568-bc2e-e1a7cd36a2d3">Gary Mullins </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D1FE9-C459-48B0-BF4F-124256D4A403}"/>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Gary</cp:lastModifiedBy>
  <cp:revision>20</cp:revision>
  <dcterms:created xsi:type="dcterms:W3CDTF">2020-08-07T21:40:00Z</dcterms:created>
  <dcterms:modified xsi:type="dcterms:W3CDTF">2020-08-13T20:13:00Z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